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eastAsia" w:ascii="Arial" w:hAnsi="Arial" w:cs="Arial"/>
          <w:b/>
          <w:sz w:val="24"/>
          <w:szCs w:val="24"/>
          <w:lang w:eastAsia="zh-CN"/>
        </w:rPr>
      </w:pPr>
      <w:bookmarkStart w:id="0" w:name="_Toc193024528"/>
      <w:r>
        <w:rPr>
          <w:rFonts w:ascii="Arial" w:hAnsi="Arial" w:cs="Arial"/>
          <w:b/>
          <w:sz w:val="24"/>
          <w:szCs w:val="24"/>
        </w:rPr>
        <w:t xml:space="preserve">3GPP TSG-RAN WG4 Meeting # 96-e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10635</w:t>
      </w:r>
      <w:bookmarkStart w:id="1" w:name="_GoBack"/>
      <w:bookmarkEnd w:id="1"/>
    </w:p>
    <w:p>
      <w:pPr>
        <w:pStyle w:val="55"/>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Electronic Meeting, 17-28 Aug., 2020</w:t>
      </w:r>
    </w:p>
    <w:p>
      <w:pPr>
        <w:pStyle w:val="55"/>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5"/>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On spectrum utilization for new channel bandwidth of 35MHz and 45MHz</w:t>
      </w:r>
    </w:p>
    <w:p>
      <w:pPr>
        <w:pStyle w:val="55"/>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10.18.2</w:t>
      </w:r>
    </w:p>
    <w:p>
      <w:pPr>
        <w:pStyle w:val="55"/>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overflowPunct w:val="0"/>
        <w:autoSpaceDE w:val="0"/>
        <w:autoSpaceDN w:val="0"/>
        <w:adjustRightInd w:val="0"/>
        <w:jc w:val="both"/>
        <w:textAlignment w:val="baseline"/>
        <w:rPr>
          <w:bCs/>
          <w:lang w:eastAsia="zh-CN"/>
        </w:rPr>
      </w:pPr>
      <w:r>
        <w:rPr>
          <w:rFonts w:hint="eastAsia" w:ascii="Times New Roman" w:hAnsi="Times New Roman" w:eastAsia="宋体" w:cs="Times New Roman"/>
          <w:sz w:val="20"/>
          <w:szCs w:val="22"/>
          <w:lang w:val="en-US" w:eastAsia="zh-CN"/>
        </w:rPr>
        <w:t>In last RAN plenary meeting, a new WID [1] to introduce new channel bandwidth in NR, i.e. 35MHz and 45MHz, where the objectives are shown as follow.</w:t>
      </w:r>
    </w:p>
    <w:p>
      <w:pPr>
        <w:numPr>
          <w:ilvl w:val="0"/>
          <w:numId w:val="13"/>
        </w:numPr>
        <w:spacing w:after="0" w:line="360" w:lineRule="auto"/>
        <w:rPr>
          <w:i/>
          <w:iCs/>
          <w:sz w:val="20"/>
          <w:szCs w:val="20"/>
          <w:lang w:eastAsia="zh-CN"/>
        </w:rPr>
      </w:pPr>
      <w:r>
        <w:rPr>
          <w:i/>
          <w:iCs/>
          <w:sz w:val="20"/>
          <w:szCs w:val="20"/>
          <w:lang w:eastAsia="zh-CN"/>
        </w:rPr>
        <w:t xml:space="preserve">Specify the core requirements to support 35 MHz and 45 MHz NR channel bandwidths </w:t>
      </w:r>
    </w:p>
    <w:p>
      <w:pPr>
        <w:numPr>
          <w:ilvl w:val="1"/>
          <w:numId w:val="13"/>
        </w:numPr>
        <w:spacing w:after="0" w:line="360" w:lineRule="auto"/>
        <w:rPr>
          <w:i/>
          <w:iCs/>
          <w:sz w:val="20"/>
          <w:szCs w:val="20"/>
          <w:lang w:eastAsia="zh-CN"/>
        </w:rPr>
      </w:pPr>
      <w:r>
        <w:rPr>
          <w:rFonts w:hint="eastAsia"/>
          <w:i/>
          <w:iCs/>
          <w:sz w:val="20"/>
          <w:szCs w:val="20"/>
          <w:lang w:eastAsia="zh-CN"/>
        </w:rPr>
        <w:t>I</w:t>
      </w:r>
      <w:r>
        <w:rPr>
          <w:i/>
          <w:iCs/>
          <w:sz w:val="20"/>
          <w:szCs w:val="20"/>
          <w:lang w:eastAsia="zh-CN"/>
        </w:rPr>
        <w:t>ntroduce the channel bandwidth 35MHz and 45MHz</w:t>
      </w:r>
    </w:p>
    <w:p>
      <w:pPr>
        <w:numPr>
          <w:ilvl w:val="1"/>
          <w:numId w:val="13"/>
        </w:numPr>
        <w:spacing w:after="0" w:line="360" w:lineRule="auto"/>
        <w:rPr>
          <w:i/>
          <w:iCs/>
          <w:sz w:val="20"/>
          <w:szCs w:val="20"/>
          <w:lang w:eastAsia="zh-CN"/>
        </w:rPr>
      </w:pPr>
      <w:r>
        <w:rPr>
          <w:rFonts w:hint="eastAsia"/>
          <w:i/>
          <w:iCs/>
          <w:sz w:val="20"/>
          <w:szCs w:val="20"/>
          <w:lang w:eastAsia="zh-CN"/>
        </w:rPr>
        <w:t>Specify the spectrum utilization</w:t>
      </w:r>
    </w:p>
    <w:p>
      <w:pPr>
        <w:numPr>
          <w:ilvl w:val="1"/>
          <w:numId w:val="13"/>
        </w:numPr>
        <w:spacing w:after="0" w:line="360" w:lineRule="auto"/>
        <w:rPr>
          <w:i/>
          <w:iCs/>
          <w:sz w:val="20"/>
          <w:szCs w:val="20"/>
          <w:lang w:eastAsia="zh-CN"/>
        </w:rPr>
      </w:pPr>
      <w:r>
        <w:rPr>
          <w:rFonts w:hint="eastAsia"/>
          <w:i/>
          <w:iCs/>
          <w:sz w:val="20"/>
          <w:szCs w:val="20"/>
          <w:lang w:eastAsia="zh-CN"/>
        </w:rPr>
        <w:t>Specify UE RF requirements for UL and DL</w:t>
      </w:r>
    </w:p>
    <w:p>
      <w:pPr>
        <w:numPr>
          <w:ilvl w:val="1"/>
          <w:numId w:val="13"/>
        </w:numPr>
        <w:spacing w:after="0" w:line="360" w:lineRule="auto"/>
        <w:rPr>
          <w:bCs/>
          <w:i/>
          <w:iCs/>
          <w:sz w:val="20"/>
          <w:szCs w:val="20"/>
        </w:rPr>
      </w:pPr>
      <w:r>
        <w:rPr>
          <w:rFonts w:hint="eastAsia"/>
          <w:i/>
          <w:iCs/>
          <w:sz w:val="20"/>
          <w:szCs w:val="20"/>
          <w:lang w:eastAsia="zh-CN"/>
        </w:rPr>
        <w:t>Specify BS RF requirements for UL and DL</w:t>
      </w:r>
    </w:p>
    <w:p>
      <w:pPr>
        <w:numPr>
          <w:ilvl w:val="1"/>
          <w:numId w:val="13"/>
        </w:numPr>
        <w:spacing w:after="0" w:line="360" w:lineRule="auto"/>
        <w:rPr>
          <w:bCs/>
          <w:i/>
          <w:iCs/>
          <w:sz w:val="20"/>
          <w:szCs w:val="20"/>
        </w:rPr>
      </w:pPr>
      <w:r>
        <w:rPr>
          <w:i/>
          <w:iCs/>
          <w:sz w:val="20"/>
          <w:szCs w:val="20"/>
          <w:lang w:eastAsia="zh-CN"/>
        </w:rPr>
        <w:t>Specify RRM core requirement, if needed</w:t>
      </w:r>
    </w:p>
    <w:p>
      <w:pPr>
        <w:numPr>
          <w:ilvl w:val="1"/>
          <w:numId w:val="13"/>
        </w:numPr>
        <w:spacing w:after="0" w:line="360" w:lineRule="auto"/>
        <w:rPr>
          <w:bCs/>
          <w:i/>
          <w:iCs/>
          <w:sz w:val="20"/>
          <w:szCs w:val="20"/>
        </w:rPr>
      </w:pPr>
      <w:r>
        <w:rPr>
          <w:rFonts w:hint="eastAsia"/>
          <w:i/>
          <w:iCs/>
          <w:sz w:val="20"/>
          <w:szCs w:val="20"/>
          <w:lang w:eastAsia="zh-CN"/>
        </w:rPr>
        <w:t>Specify the necessary RAN2 signalling, if needed</w:t>
      </w:r>
    </w:p>
    <w:p>
      <w:pPr>
        <w:numPr>
          <w:ilvl w:val="0"/>
          <w:numId w:val="13"/>
        </w:numPr>
        <w:spacing w:after="0" w:line="360" w:lineRule="auto"/>
        <w:rPr>
          <w:rFonts w:hint="eastAsia" w:ascii="Times New Roman" w:hAnsi="Times New Roman" w:eastAsia="宋体" w:cs="Times New Roman"/>
          <w:sz w:val="20"/>
          <w:szCs w:val="22"/>
          <w:lang w:val="en-US" w:eastAsia="zh-CN"/>
        </w:rPr>
      </w:pPr>
      <w:r>
        <w:rPr>
          <w:i/>
          <w:iCs/>
          <w:sz w:val="20"/>
          <w:szCs w:val="20"/>
          <w:lang w:eastAsia="zh-CN"/>
        </w:rPr>
        <w:t>Discuss and specify the release independent specifications.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In this contribution, we give some initial discussion on spectrum utilization for 35MHz and 45MHz NR channel bandwidths.</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sz w:val="20"/>
          <w:szCs w:val="20"/>
          <w:lang w:val="en-US" w:eastAsia="zh-CN"/>
        </w:rPr>
      </w:pPr>
      <w:r>
        <w:rPr>
          <w:rFonts w:hint="eastAsia" w:eastAsia="宋体"/>
          <w:sz w:val="20"/>
          <w:szCs w:val="20"/>
          <w:lang w:eastAsia="zh-CN"/>
        </w:rPr>
        <w:t>T</w:t>
      </w:r>
      <w:r>
        <w:rPr>
          <w:rFonts w:eastAsia="宋体"/>
          <w:sz w:val="20"/>
          <w:szCs w:val="20"/>
          <w:lang w:eastAsia="zh-CN"/>
        </w:rPr>
        <w:t>h</w:t>
      </w:r>
      <w:r>
        <w:rPr>
          <w:rFonts w:hint="eastAsia" w:eastAsia="宋体"/>
          <w:sz w:val="20"/>
          <w:szCs w:val="20"/>
          <w:lang w:eastAsia="zh-CN"/>
        </w:rPr>
        <w:t>e spectrum utilization had been discussed for a long time in RAN4</w:t>
      </w:r>
      <w:r>
        <w:rPr>
          <w:rFonts w:hint="eastAsia" w:eastAsia="宋体"/>
          <w:sz w:val="20"/>
          <w:szCs w:val="20"/>
          <w:lang w:val="en-US" w:eastAsia="zh-CN"/>
        </w:rPr>
        <w:t>.  At the beginning of NR</w:t>
      </w:r>
      <w:r>
        <w:rPr>
          <w:rFonts w:hint="eastAsia" w:eastAsia="宋体"/>
          <w:sz w:val="20"/>
          <w:szCs w:val="20"/>
          <w:lang w:eastAsia="zh-CN"/>
        </w:rPr>
        <w:t xml:space="preserve">, </w:t>
      </w:r>
      <w:r>
        <w:rPr>
          <w:rFonts w:hint="eastAsia" w:eastAsia="宋体"/>
          <w:sz w:val="20"/>
          <w:szCs w:val="20"/>
          <w:lang w:val="en-US" w:eastAsia="zh-CN"/>
        </w:rPr>
        <w:t>the spectrum utilization discussions only focused on the channel bandwidths of 5/10/15/20/25/40/50/60/80/100MHz by using the approach of simulations to meet the EVM and SEM requirements although the results were compromised among the companies in the end.</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default" w:eastAsia="宋体"/>
          <w:sz w:val="20"/>
          <w:szCs w:val="20"/>
          <w:lang w:val="en-US" w:eastAsia="zh-CN"/>
        </w:rPr>
      </w:pPr>
      <w:r>
        <w:rPr>
          <w:rFonts w:hint="eastAsia" w:eastAsia="宋体"/>
          <w:sz w:val="20"/>
          <w:szCs w:val="20"/>
          <w:lang w:val="en-US" w:eastAsia="zh-CN"/>
        </w:rPr>
        <w:t>Later, when the other new channel bandwidths such as 30/70/90MHz were introduced, RAN4 also discussed how to treat the new introduce channel bandwidth. The common understanding was that it was unrealistic to evaluate the feasible spectrum utilization for all channel bandwidths, instead some mathematical methods shall be used to derive the spectrum utilization for the new introduced channel bandwidths based on some mathematical rules implied in the current values. In the end, the spectrum utilization for 30/70/90MHz were defined based on mathematical methods from different companies.</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sz w:val="20"/>
          <w:szCs w:val="20"/>
          <w:lang w:val="en-US" w:eastAsia="zh-CN"/>
        </w:rPr>
      </w:pPr>
      <w:r>
        <w:rPr>
          <w:rFonts w:hint="eastAsia" w:eastAsia="宋体"/>
          <w:sz w:val="20"/>
          <w:szCs w:val="20"/>
          <w:lang w:val="en-US" w:eastAsia="zh-CN"/>
        </w:rPr>
        <w:t>Hence, we also think it is reasonable to derive the spectrum utilization for 35/45MHz channel bandwidth using  mathematical methods, similar as 30/70/90MHz did.</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sz w:val="20"/>
          <w:szCs w:val="20"/>
          <w:lang w:val="en-US" w:eastAsia="zh-CN"/>
        </w:rPr>
      </w:pPr>
      <w:r>
        <w:rPr>
          <w:rFonts w:hint="eastAsia" w:eastAsia="宋体"/>
          <w:sz w:val="20"/>
          <w:szCs w:val="20"/>
          <w:lang w:val="en-US" w:eastAsia="zh-CN"/>
        </w:rPr>
        <w:t xml:space="preserve">First, We summarize the current spectrum utilization for each channel bandwidth in TS38.101-1, shown in table 1, where the spectrum utilization percentages are included.  </w:t>
      </w:r>
    </w:p>
    <w:p>
      <w:pPr>
        <w:pStyle w:val="25"/>
        <w:ind w:left="568" w:hanging="568"/>
        <w:jc w:val="center"/>
        <w:rPr>
          <w:rFonts w:hint="default" w:eastAsia="宋体"/>
          <w:sz w:val="20"/>
          <w:szCs w:val="20"/>
          <w:lang w:val="en-US" w:eastAsia="zh-CN"/>
        </w:rPr>
      </w:pPr>
      <w:r>
        <w:rPr>
          <w:rFonts w:hint="eastAsia" w:ascii="Times New Roman" w:hAnsi="Times New Roman" w:cs="Times New Roman"/>
          <w:color w:val="auto"/>
          <w:kern w:val="0"/>
          <w:sz w:val="20"/>
          <w:szCs w:val="20"/>
          <w:lang w:val="en-GB" w:eastAsia="zh-CN"/>
        </w:rPr>
        <w:t>Table 1. S</w:t>
      </w:r>
      <w:r>
        <w:rPr>
          <w:rFonts w:ascii="Times New Roman" w:hAnsi="Times New Roman" w:cs="Times New Roman"/>
          <w:color w:val="auto"/>
          <w:kern w:val="0"/>
          <w:sz w:val="20"/>
          <w:szCs w:val="20"/>
          <w:lang w:val="en-GB" w:eastAsia="zh-CN"/>
        </w:rPr>
        <w:t>pectrum</w:t>
      </w:r>
      <w:r>
        <w:rPr>
          <w:rFonts w:hint="eastAsia" w:ascii="Times New Roman" w:hAnsi="Times New Roman" w:cs="Times New Roman"/>
          <w:color w:val="auto"/>
          <w:kern w:val="0"/>
          <w:sz w:val="20"/>
          <w:szCs w:val="20"/>
          <w:lang w:val="en-GB" w:eastAsia="zh-CN"/>
        </w:rPr>
        <w:t xml:space="preserve"> utilization for sub-6GHz CBWs</w:t>
      </w:r>
      <w:r>
        <w:rPr>
          <w:rFonts w:hint="eastAsia" w:ascii="Times New Roman" w:hAnsi="Times New Roman" w:cs="Times New Roman"/>
          <w:color w:val="auto"/>
          <w:kern w:val="0"/>
          <w:sz w:val="20"/>
          <w:szCs w:val="20"/>
          <w:lang w:val="en-US" w:eastAsia="zh-CN"/>
        </w:rPr>
        <w:t xml:space="preserve"> in TS38.101-1</w:t>
      </w:r>
    </w:p>
    <w:tbl>
      <w:tblPr>
        <w:tblStyle w:val="93"/>
        <w:tblpPr w:leftFromText="142" w:rightFromText="142" w:vertAnchor="text" w:tblpXSpec="center" w:tblpY="1"/>
        <w:tblOverlap w:val="never"/>
        <w:tblW w:w="110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7"/>
        <w:gridCol w:w="791"/>
        <w:gridCol w:w="795"/>
        <w:gridCol w:w="795"/>
        <w:gridCol w:w="795"/>
        <w:gridCol w:w="795"/>
        <w:gridCol w:w="795"/>
        <w:gridCol w:w="795"/>
        <w:gridCol w:w="795"/>
        <w:gridCol w:w="795"/>
        <w:gridCol w:w="795"/>
        <w:gridCol w:w="795"/>
        <w:gridCol w:w="795"/>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37" w:type="dxa"/>
            <w:vMerge w:val="restart"/>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SCS (kHz)</w:t>
            </w:r>
          </w:p>
        </w:tc>
        <w:tc>
          <w:tcPr>
            <w:tcW w:w="791"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5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10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15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20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25 MHz</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30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40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50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60 MHz</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70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80 MHz</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90 MHz</w:t>
            </w:r>
          </w:p>
        </w:tc>
        <w:tc>
          <w:tcPr>
            <w:tcW w:w="916"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5" w:hRule="atLeast"/>
        </w:trPr>
        <w:tc>
          <w:tcPr>
            <w:tcW w:w="637" w:type="dxa"/>
            <w:vMerge w:val="continue"/>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p>
        </w:tc>
        <w:tc>
          <w:tcPr>
            <w:tcW w:w="791"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916"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637" w:type="dxa"/>
            <w:tcMar>
              <w:top w:w="15" w:type="dxa"/>
              <w:left w:w="81" w:type="dxa"/>
              <w:bottom w:w="0" w:type="dxa"/>
              <w:right w:w="81" w:type="dxa"/>
            </w:tcMar>
            <w:vAlign w:val="center"/>
          </w:tcPr>
          <w:p>
            <w:pPr>
              <w:pStyle w:val="177"/>
              <w:rPr>
                <w:color w:val="auto"/>
              </w:rPr>
            </w:pPr>
            <w:r>
              <w:rPr>
                <w:color w:val="auto"/>
              </w:rPr>
              <w:t>15</w:t>
            </w:r>
          </w:p>
        </w:tc>
        <w:tc>
          <w:tcPr>
            <w:tcW w:w="791" w:type="dxa"/>
            <w:tcMar>
              <w:top w:w="15" w:type="dxa"/>
              <w:left w:w="81" w:type="dxa"/>
              <w:bottom w:w="0" w:type="dxa"/>
              <w:right w:w="81" w:type="dxa"/>
            </w:tcMar>
            <w:vAlign w:val="center"/>
          </w:tcPr>
          <w:p>
            <w:pPr>
              <w:pStyle w:val="177"/>
              <w:rPr>
                <w:color w:val="auto"/>
              </w:rPr>
            </w:pPr>
            <w:r>
              <w:rPr>
                <w:color w:val="auto"/>
              </w:rPr>
              <w:t>25</w:t>
            </w:r>
          </w:p>
        </w:tc>
        <w:tc>
          <w:tcPr>
            <w:tcW w:w="795" w:type="dxa"/>
            <w:tcMar>
              <w:top w:w="15" w:type="dxa"/>
              <w:left w:w="81" w:type="dxa"/>
              <w:bottom w:w="0" w:type="dxa"/>
              <w:right w:w="81" w:type="dxa"/>
            </w:tcMar>
            <w:vAlign w:val="center"/>
          </w:tcPr>
          <w:p>
            <w:pPr>
              <w:pStyle w:val="177"/>
              <w:rPr>
                <w:color w:val="auto"/>
              </w:rPr>
            </w:pPr>
            <w:r>
              <w:rPr>
                <w:color w:val="auto"/>
              </w:rPr>
              <w:t>52</w:t>
            </w:r>
          </w:p>
        </w:tc>
        <w:tc>
          <w:tcPr>
            <w:tcW w:w="795" w:type="dxa"/>
            <w:tcMar>
              <w:top w:w="15" w:type="dxa"/>
              <w:left w:w="81" w:type="dxa"/>
              <w:bottom w:w="0" w:type="dxa"/>
              <w:right w:w="81" w:type="dxa"/>
            </w:tcMar>
            <w:vAlign w:val="center"/>
          </w:tcPr>
          <w:p>
            <w:pPr>
              <w:pStyle w:val="177"/>
              <w:rPr>
                <w:color w:val="auto"/>
              </w:rPr>
            </w:pPr>
            <w:r>
              <w:rPr>
                <w:color w:val="auto"/>
              </w:rPr>
              <w:t>79</w:t>
            </w:r>
          </w:p>
        </w:tc>
        <w:tc>
          <w:tcPr>
            <w:tcW w:w="795" w:type="dxa"/>
            <w:tcMar>
              <w:top w:w="15" w:type="dxa"/>
              <w:left w:w="81" w:type="dxa"/>
              <w:bottom w:w="0" w:type="dxa"/>
              <w:right w:w="81" w:type="dxa"/>
            </w:tcMar>
            <w:vAlign w:val="center"/>
          </w:tcPr>
          <w:p>
            <w:pPr>
              <w:pStyle w:val="177"/>
              <w:rPr>
                <w:color w:val="auto"/>
              </w:rPr>
            </w:pPr>
            <w:r>
              <w:rPr>
                <w:color w:val="auto"/>
              </w:rPr>
              <w:t>106</w:t>
            </w:r>
          </w:p>
        </w:tc>
        <w:tc>
          <w:tcPr>
            <w:tcW w:w="795" w:type="dxa"/>
            <w:tcMar>
              <w:top w:w="15" w:type="dxa"/>
              <w:left w:w="81" w:type="dxa"/>
              <w:bottom w:w="0" w:type="dxa"/>
              <w:right w:w="81" w:type="dxa"/>
            </w:tcMar>
            <w:vAlign w:val="center"/>
          </w:tcPr>
          <w:p>
            <w:pPr>
              <w:pStyle w:val="177"/>
              <w:rPr>
                <w:color w:val="auto"/>
              </w:rPr>
            </w:pPr>
            <w:r>
              <w:rPr>
                <w:color w:val="auto"/>
              </w:rPr>
              <w:t>133</w:t>
            </w:r>
          </w:p>
        </w:tc>
        <w:tc>
          <w:tcPr>
            <w:tcW w:w="795" w:type="dxa"/>
            <w:vAlign w:val="center"/>
          </w:tcPr>
          <w:p>
            <w:pPr>
              <w:pStyle w:val="177"/>
              <w:rPr>
                <w:color w:val="auto"/>
              </w:rPr>
            </w:pPr>
            <w:r>
              <w:rPr>
                <w:color w:val="auto"/>
              </w:rPr>
              <w:t>160</w:t>
            </w:r>
          </w:p>
        </w:tc>
        <w:tc>
          <w:tcPr>
            <w:tcW w:w="795" w:type="dxa"/>
            <w:tcMar>
              <w:top w:w="15" w:type="dxa"/>
              <w:left w:w="81" w:type="dxa"/>
              <w:bottom w:w="0" w:type="dxa"/>
              <w:right w:w="81" w:type="dxa"/>
            </w:tcMar>
            <w:vAlign w:val="center"/>
          </w:tcPr>
          <w:p>
            <w:pPr>
              <w:pStyle w:val="177"/>
              <w:rPr>
                <w:color w:val="auto"/>
              </w:rPr>
            </w:pPr>
            <w:r>
              <w:rPr>
                <w:color w:val="auto"/>
              </w:rPr>
              <w:t>216</w:t>
            </w:r>
          </w:p>
        </w:tc>
        <w:tc>
          <w:tcPr>
            <w:tcW w:w="795" w:type="dxa"/>
            <w:tcMar>
              <w:top w:w="15" w:type="dxa"/>
              <w:left w:w="81" w:type="dxa"/>
              <w:bottom w:w="0" w:type="dxa"/>
              <w:right w:w="81" w:type="dxa"/>
            </w:tcMar>
            <w:vAlign w:val="center"/>
          </w:tcPr>
          <w:p>
            <w:pPr>
              <w:pStyle w:val="177"/>
              <w:rPr>
                <w:color w:val="auto"/>
              </w:rPr>
            </w:pPr>
            <w:r>
              <w:rPr>
                <w:color w:val="auto"/>
              </w:rPr>
              <w:t>270</w:t>
            </w:r>
          </w:p>
        </w:tc>
        <w:tc>
          <w:tcPr>
            <w:tcW w:w="795" w:type="dxa"/>
            <w:tcMar>
              <w:top w:w="15" w:type="dxa"/>
              <w:left w:w="81" w:type="dxa"/>
              <w:bottom w:w="0" w:type="dxa"/>
              <w:right w:w="81" w:type="dxa"/>
            </w:tcMar>
            <w:vAlign w:val="center"/>
          </w:tcPr>
          <w:p>
            <w:pPr>
              <w:pStyle w:val="177"/>
              <w:rPr>
                <w:color w:val="auto"/>
              </w:rPr>
            </w:pPr>
            <w:r>
              <w:rPr>
                <w:color w:val="auto"/>
              </w:rPr>
              <w:t>N/A</w:t>
            </w:r>
          </w:p>
        </w:tc>
        <w:tc>
          <w:tcPr>
            <w:tcW w:w="795" w:type="dxa"/>
            <w:vAlign w:val="center"/>
          </w:tcPr>
          <w:p>
            <w:pPr>
              <w:pStyle w:val="177"/>
              <w:rPr>
                <w:color w:val="auto"/>
              </w:rPr>
            </w:pPr>
            <w:r>
              <w:rPr>
                <w:color w:val="auto"/>
              </w:rPr>
              <w:t>N/A</w:t>
            </w:r>
          </w:p>
        </w:tc>
        <w:tc>
          <w:tcPr>
            <w:tcW w:w="795" w:type="dxa"/>
            <w:tcMar>
              <w:top w:w="15" w:type="dxa"/>
              <w:left w:w="81" w:type="dxa"/>
              <w:bottom w:w="0" w:type="dxa"/>
              <w:right w:w="81" w:type="dxa"/>
            </w:tcMar>
            <w:vAlign w:val="center"/>
          </w:tcPr>
          <w:p>
            <w:pPr>
              <w:pStyle w:val="177"/>
              <w:rPr>
                <w:color w:val="auto"/>
              </w:rPr>
            </w:pPr>
            <w:r>
              <w:rPr>
                <w:color w:val="auto"/>
              </w:rPr>
              <w:t>N/A</w:t>
            </w:r>
          </w:p>
        </w:tc>
        <w:tc>
          <w:tcPr>
            <w:tcW w:w="795" w:type="dxa"/>
            <w:vAlign w:val="center"/>
          </w:tcPr>
          <w:p>
            <w:pPr>
              <w:pStyle w:val="177"/>
              <w:rPr>
                <w:color w:val="auto"/>
              </w:rPr>
            </w:pPr>
            <w:r>
              <w:rPr>
                <w:color w:val="auto"/>
              </w:rPr>
              <w:t>N/A</w:t>
            </w:r>
          </w:p>
        </w:tc>
        <w:tc>
          <w:tcPr>
            <w:tcW w:w="916" w:type="dxa"/>
            <w:tcMar>
              <w:top w:w="15" w:type="dxa"/>
              <w:left w:w="81" w:type="dxa"/>
              <w:bottom w:w="0" w:type="dxa"/>
              <w:right w:w="81" w:type="dxa"/>
            </w:tcMar>
            <w:vAlign w:val="center"/>
          </w:tcPr>
          <w:p>
            <w:pPr>
              <w:pStyle w:val="177"/>
              <w:rPr>
                <w:color w:val="auto"/>
              </w:rPr>
            </w:pPr>
            <w:r>
              <w:rPr>
                <w:color w:val="aut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eastAsia="宋体"/>
                <w:color w:val="auto"/>
                <w:lang w:val="en-US" w:eastAsia="zh-CN"/>
              </w:rPr>
            </w:pPr>
            <w:r>
              <w:rPr>
                <w:rFonts w:hint="eastAsia" w:eastAsia="宋体"/>
                <w:color w:val="auto"/>
                <w:lang w:val="en-US" w:eastAsia="zh-CN"/>
              </w:rPr>
              <w:t>%</w:t>
            </w:r>
          </w:p>
        </w:tc>
        <w:tc>
          <w:tcPr>
            <w:tcW w:w="791"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90.00%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93.60%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94.80%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95.40%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95.76%</w:t>
            </w:r>
          </w:p>
        </w:tc>
        <w:tc>
          <w:tcPr>
            <w:tcW w:w="795" w:type="dxa"/>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96.00%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p>
        </w:tc>
        <w:tc>
          <w:tcPr>
            <w:tcW w:w="795" w:type="dxa"/>
            <w:vAlign w:val="top"/>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p>
        </w:tc>
        <w:tc>
          <w:tcPr>
            <w:tcW w:w="916"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rPr>
            </w:pPr>
            <w:r>
              <w:rPr>
                <w:color w:val="auto"/>
              </w:rPr>
              <w:t>30</w:t>
            </w:r>
          </w:p>
        </w:tc>
        <w:tc>
          <w:tcPr>
            <w:tcW w:w="791"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11</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24</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51</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65</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78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106</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133</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162</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189</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217</w:t>
            </w:r>
          </w:p>
        </w:tc>
        <w:tc>
          <w:tcPr>
            <w:tcW w:w="795" w:type="dxa"/>
            <w:vAlign w:val="top"/>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245</w:t>
            </w:r>
          </w:p>
        </w:tc>
        <w:tc>
          <w:tcPr>
            <w:tcW w:w="916"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eastAsia="宋体"/>
                <w:color w:val="auto"/>
                <w:lang w:val="en-US" w:eastAsia="zh-CN"/>
              </w:rPr>
            </w:pPr>
            <w:r>
              <w:rPr>
                <w:rFonts w:hint="eastAsia" w:eastAsia="宋体"/>
                <w:color w:val="auto"/>
                <w:lang w:val="en-US" w:eastAsia="zh-CN"/>
              </w:rPr>
              <w:t>%</w:t>
            </w:r>
          </w:p>
        </w:tc>
        <w:tc>
          <w:tcPr>
            <w:tcW w:w="791"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79.20%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86.40%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91.20%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91.80%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93.60%</w:t>
            </w:r>
          </w:p>
        </w:tc>
        <w:tc>
          <w:tcPr>
            <w:tcW w:w="795" w:type="dxa"/>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93.60%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95.40%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95.76%</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c>
          <w:tcPr>
            <w:tcW w:w="795" w:type="dxa"/>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97.65%</w:t>
            </w:r>
          </w:p>
        </w:tc>
        <w:tc>
          <w:tcPr>
            <w:tcW w:w="795" w:type="dxa"/>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98.00%</w:t>
            </w:r>
          </w:p>
        </w:tc>
        <w:tc>
          <w:tcPr>
            <w:tcW w:w="916"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rPr>
            </w:pPr>
            <w:r>
              <w:rPr>
                <w:color w:val="auto"/>
              </w:rPr>
              <w:t>60</w:t>
            </w:r>
          </w:p>
        </w:tc>
        <w:tc>
          <w:tcPr>
            <w:tcW w:w="791"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N/A</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11</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24</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31</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51</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65</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79</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93</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107</w:t>
            </w:r>
          </w:p>
        </w:tc>
        <w:tc>
          <w:tcPr>
            <w:tcW w:w="795" w:type="dxa"/>
            <w:vAlign w:val="top"/>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121</w:t>
            </w:r>
          </w:p>
        </w:tc>
        <w:tc>
          <w:tcPr>
            <w:tcW w:w="916"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eastAsia="宋体"/>
                <w:color w:val="auto"/>
                <w:lang w:val="en-US" w:eastAsia="zh-CN"/>
              </w:rPr>
            </w:pPr>
            <w:r>
              <w:rPr>
                <w:rFonts w:hint="eastAsia" w:eastAsia="宋体"/>
                <w:color w:val="auto"/>
                <w:lang w:val="en-US" w:eastAsia="zh-CN"/>
              </w:rPr>
              <w:t>%</w:t>
            </w:r>
          </w:p>
        </w:tc>
        <w:tc>
          <w:tcPr>
            <w:tcW w:w="791"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N/A</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79.20%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86.40%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86.40%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89.28%</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91.20%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91.80%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93.60%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94.80%</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95.66%</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96.30%</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96.80%</w:t>
            </w:r>
          </w:p>
        </w:tc>
        <w:tc>
          <w:tcPr>
            <w:tcW w:w="916"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r>
    </w:tbl>
    <w:p>
      <w:pPr>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As seen in table 1, the Spectrum Utilization Percentage (SUP</w:t>
      </w:r>
      <w:r>
        <w:rPr>
          <w:rFonts w:hint="eastAsia"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eastAsia="zh-CN"/>
        </w:rPr>
        <w:t xml:space="preserve">) is </w:t>
      </w:r>
      <w:r>
        <w:rPr>
          <w:rFonts w:hint="default" w:ascii="Times New Roman" w:hAnsi="Times New Roman" w:eastAsia="宋体" w:cs="Times New Roman"/>
          <w:sz w:val="20"/>
          <w:szCs w:val="20"/>
          <w:lang w:eastAsia="zh-CN"/>
        </w:rPr>
        <w:fldChar w:fldCharType="begin"/>
      </w:r>
      <w:r>
        <w:rPr>
          <w:rFonts w:hint="default" w:ascii="Times New Roman" w:hAnsi="Times New Roman" w:eastAsia="宋体" w:cs="Times New Roman"/>
          <w:sz w:val="20"/>
          <w:szCs w:val="20"/>
          <w:lang w:eastAsia="zh-CN"/>
        </w:rPr>
        <w:instrText xml:space="preserve"> HYPERLINK "https://www.baidu.com/link?url=k-JZ3ksHnQuNWNJrXOJmmc9qhMHauMOBAwgS6zCa9JUByRFTCfF0KOBKtOv8EGhmH8FOeyiP9trazhZ2FBrxtS8UPGtDvJl681te1d6rlJCNg3XVIb5CEs94IAMC2SJd&amp;wd=&amp;eqid=8da5ced30001f8170000000659a7676b" \t "_blank" </w:instrText>
      </w:r>
      <w:r>
        <w:rPr>
          <w:rFonts w:hint="default" w:ascii="Times New Roman" w:hAnsi="Times New Roman" w:eastAsia="宋体" w:cs="Times New Roman"/>
          <w:sz w:val="20"/>
          <w:szCs w:val="20"/>
          <w:lang w:eastAsia="zh-CN"/>
        </w:rPr>
        <w:fldChar w:fldCharType="separate"/>
      </w:r>
      <w:r>
        <w:rPr>
          <w:rFonts w:hint="default" w:ascii="Times New Roman" w:hAnsi="Times New Roman" w:eastAsia="宋体" w:cs="Times New Roman"/>
          <w:sz w:val="20"/>
          <w:szCs w:val="20"/>
          <w:lang w:eastAsia="zh-CN"/>
        </w:rPr>
        <w:t>monotone increasing</w:t>
      </w:r>
      <w:r>
        <w:rPr>
          <w:rFonts w:hint="default" w:ascii="Times New Roman" w:hAnsi="Times New Roman" w:eastAsia="宋体" w:cs="Times New Roman"/>
          <w:sz w:val="20"/>
          <w:szCs w:val="20"/>
          <w:lang w:eastAsia="zh-CN"/>
        </w:rPr>
        <w:fldChar w:fldCharType="end"/>
      </w:r>
      <w:r>
        <w:rPr>
          <w:rFonts w:hint="default" w:ascii="Times New Roman" w:hAnsi="Times New Roman" w:eastAsia="宋体" w:cs="Times New Roman"/>
          <w:sz w:val="20"/>
          <w:szCs w:val="20"/>
          <w:lang w:eastAsia="zh-CN"/>
        </w:rPr>
        <w:t xml:space="preserve"> as the </w:t>
      </w:r>
      <w:r>
        <w:rPr>
          <w:rFonts w:hint="eastAsia" w:ascii="Times New Roman" w:hAnsi="Times New Roman" w:eastAsia="宋体" w:cs="Times New Roman"/>
          <w:sz w:val="20"/>
          <w:szCs w:val="20"/>
          <w:lang w:val="en-US" w:eastAsia="zh-CN"/>
        </w:rPr>
        <w:t>channel bandwidth</w:t>
      </w:r>
      <w:r>
        <w:rPr>
          <w:rFonts w:hint="default" w:ascii="Times New Roman" w:hAnsi="Times New Roman" w:eastAsia="宋体" w:cs="Times New Roman"/>
          <w:sz w:val="20"/>
          <w:szCs w:val="20"/>
          <w:lang w:eastAsia="zh-CN"/>
        </w:rPr>
        <w:t xml:space="preserve"> increases</w:t>
      </w:r>
      <w:r>
        <w:rPr>
          <w:rFonts w:hint="default" w:ascii="Times New Roman" w:hAnsi="Times New Roman" w:eastAsia="宋体" w:cs="Times New Roman"/>
          <w:sz w:val="20"/>
          <w:szCs w:val="20"/>
          <w:lang w:val="en-US" w:eastAsia="zh-CN"/>
        </w:rPr>
        <w:t xml:space="preserve"> for a fixed SCS</w:t>
      </w:r>
      <w:r>
        <w:rPr>
          <w:rFonts w:hint="eastAsia" w:ascii="Times New Roman" w:hAnsi="Times New Roman" w:eastAsia="宋体" w:cs="Times New Roman"/>
          <w:sz w:val="20"/>
          <w:szCs w:val="20"/>
          <w:lang w:val="en-US" w:eastAsia="zh-CN"/>
        </w:rPr>
        <w:t xml:space="preserve">, and meanwhile the </w:t>
      </w:r>
      <w:r>
        <w:rPr>
          <w:rFonts w:hint="default" w:ascii="Times New Roman" w:hAnsi="Times New Roman" w:eastAsia="宋体" w:cs="Times New Roman"/>
          <w:sz w:val="20"/>
          <w:szCs w:val="20"/>
          <w:lang w:eastAsia="zh-CN"/>
        </w:rPr>
        <w:t>SUP</w:t>
      </w:r>
      <w:r>
        <w:rPr>
          <w:rFonts w:hint="eastAsia" w:ascii="Times New Roman" w:hAnsi="Times New Roman" w:eastAsia="宋体" w:cs="Times New Roman"/>
          <w:sz w:val="20"/>
          <w:szCs w:val="20"/>
          <w:lang w:val="en-US" w:eastAsia="zh-CN"/>
        </w:rPr>
        <w:t xml:space="preserve"> is decrease as the SCS increases for a fixed channel bandwidth. Therefor i</w:t>
      </w:r>
      <w:r>
        <w:rPr>
          <w:rFonts w:hint="default" w:ascii="Times New Roman" w:hAnsi="Times New Roman" w:eastAsia="宋体" w:cs="Times New Roman"/>
          <w:sz w:val="20"/>
          <w:szCs w:val="20"/>
          <w:lang w:eastAsia="zh-CN"/>
        </w:rPr>
        <w:t>t is reasonable that the spectrum utilization percentages for the new CBW also obey this rule</w:t>
      </w:r>
      <w:r>
        <w:rPr>
          <w:rFonts w:hint="eastAsia" w:ascii="Times New Roman" w:hAnsi="Times New Roman" w:eastAsia="宋体" w:cs="Times New Roman"/>
          <w:sz w:val="20"/>
          <w:szCs w:val="20"/>
          <w:lang w:val="en-US" w:eastAsia="zh-CN"/>
        </w:rPr>
        <w:t xml:space="preserve"> as much as possible</w:t>
      </w:r>
      <w:r>
        <w:rPr>
          <w:rFonts w:hint="default" w:ascii="Times New Roman" w:hAnsi="Times New Roman" w:eastAsia="宋体" w:cs="Times New Roman"/>
          <w:sz w:val="20"/>
          <w:szCs w:val="20"/>
          <w:lang w:eastAsia="zh-CN"/>
        </w:rPr>
        <w:t xml:space="preserve">. </w:t>
      </w:r>
    </w:p>
    <w:p>
      <w:pPr>
        <w:overflowPunct w:val="0"/>
        <w:autoSpaceDE w:val="0"/>
        <w:autoSpaceDN w:val="0"/>
        <w:adjustRightInd w:val="0"/>
        <w:spacing w:after="120"/>
        <w:textAlignment w:val="baseline"/>
        <w:rPr>
          <w:rFonts w:hint="eastAsia" w:eastAsia="宋体"/>
          <w:sz w:val="20"/>
          <w:szCs w:val="20"/>
          <w:lang w:val="en-US" w:eastAsia="zh-CN"/>
        </w:rPr>
      </w:pPr>
      <w:r>
        <w:rPr>
          <w:rFonts w:hint="eastAsia" w:ascii="Times New Roman" w:hAnsi="Times New Roman" w:eastAsia="宋体" w:cs="Times New Roman"/>
          <w:sz w:val="20"/>
          <w:szCs w:val="20"/>
          <w:lang w:val="en-US" w:eastAsia="zh-CN"/>
        </w:rPr>
        <w:t>As mentioned above, s</w:t>
      </w:r>
      <w:r>
        <w:rPr>
          <w:rFonts w:hint="default" w:ascii="Times New Roman" w:hAnsi="Times New Roman" w:cs="Times New Roman"/>
          <w:sz w:val="20"/>
          <w:szCs w:val="20"/>
          <w:lang w:eastAsia="zh-CN"/>
        </w:rPr>
        <w:t>ome mathematical methods such as interpolation methods may be raised to deduce the spectrum utilization for the new BS CBWs</w:t>
      </w:r>
      <w:r>
        <w:rPr>
          <w:rFonts w:hint="default"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val="en-US" w:eastAsia="zh-CN"/>
        </w:rPr>
        <w:t xml:space="preserve">Here we use the similar </w:t>
      </w:r>
      <w:r>
        <w:rPr>
          <w:rFonts w:hint="default" w:ascii="Times New Roman" w:hAnsi="Times New Roman" w:cs="Times New Roman"/>
          <w:sz w:val="20"/>
          <w:szCs w:val="20"/>
          <w:lang w:eastAsia="zh-CN"/>
        </w:rPr>
        <w:t>interpolation methods</w:t>
      </w:r>
      <w:r>
        <w:rPr>
          <w:rFonts w:hint="default"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val="en-US" w:eastAsia="zh-CN"/>
        </w:rPr>
        <w:t xml:space="preserve">as described in [2], It shall be noted that same method was used in [3] to derive the </w:t>
      </w:r>
      <w:r>
        <w:rPr>
          <w:rFonts w:hint="eastAsia" w:eastAsia="宋体"/>
          <w:sz w:val="20"/>
          <w:szCs w:val="20"/>
          <w:lang w:val="en-US" w:eastAsia="zh-CN"/>
        </w:rPr>
        <w:t xml:space="preserve">30/70/90MHz spectrum utilization and some of the values were agreed. </w:t>
      </w:r>
    </w:p>
    <w:p>
      <w:pPr>
        <w:overflowPunct w:val="0"/>
        <w:autoSpaceDE w:val="0"/>
        <w:autoSpaceDN w:val="0"/>
        <w:adjustRightInd w:val="0"/>
        <w:spacing w:after="120"/>
        <w:textAlignment w:val="baseline"/>
        <w:rPr>
          <w:rFonts w:hint="default" w:eastAsia="宋体"/>
          <w:sz w:val="20"/>
          <w:szCs w:val="20"/>
          <w:lang w:val="en-US" w:eastAsia="zh-CN"/>
        </w:rPr>
      </w:pPr>
      <w:r>
        <w:rPr>
          <w:rFonts w:hint="eastAsia" w:eastAsia="宋体"/>
          <w:sz w:val="20"/>
          <w:szCs w:val="20"/>
          <w:lang w:val="en-US" w:eastAsia="zh-CN"/>
        </w:rPr>
        <w:t xml:space="preserve">For the </w:t>
      </w:r>
      <w:r>
        <w:rPr>
          <w:rFonts w:hint="default" w:ascii="Times New Roman" w:hAnsi="Times New Roman" w:cs="Times New Roman"/>
          <w:sz w:val="20"/>
          <w:szCs w:val="20"/>
          <w:lang w:eastAsia="zh-CN"/>
        </w:rPr>
        <w:t>interpolation methods</w:t>
      </w:r>
      <w:r>
        <w:rPr>
          <w:rFonts w:hint="eastAsia" w:ascii="Times New Roman" w:hAnsi="Times New Roman" w:cs="Times New Roman"/>
          <w:sz w:val="20"/>
          <w:szCs w:val="20"/>
          <w:lang w:val="en-US" w:eastAsia="zh-CN"/>
        </w:rPr>
        <w:t xml:space="preserve">, </w:t>
      </w:r>
      <w:r>
        <w:rPr>
          <w:rFonts w:hint="eastAsia" w:eastAsia="宋体"/>
          <w:sz w:val="20"/>
          <w:szCs w:val="20"/>
          <w:lang w:val="en-US" w:eastAsia="zh-CN"/>
        </w:rPr>
        <w:t xml:space="preserve">there are </w:t>
      </w:r>
      <w:r>
        <w:rPr>
          <w:rFonts w:hint="default" w:ascii="Times New Roman" w:hAnsi="Times New Roman" w:eastAsia="宋体" w:cs="Times New Roman"/>
          <w:sz w:val="20"/>
          <w:szCs w:val="20"/>
          <w:lang w:eastAsia="zh-CN"/>
        </w:rPr>
        <w:t>two points w</w:t>
      </w:r>
      <w:r>
        <w:rPr>
          <w:rFonts w:hint="eastAsia" w:ascii="Times New Roman" w:hAnsi="Times New Roman" w:eastAsia="宋体" w:cs="Times New Roman"/>
          <w:sz w:val="20"/>
          <w:szCs w:val="20"/>
          <w:lang w:val="en-US" w:eastAsia="zh-CN"/>
        </w:rPr>
        <w:t>ere</w:t>
      </w:r>
      <w:r>
        <w:rPr>
          <w:rFonts w:hint="default" w:ascii="Times New Roman" w:hAnsi="Times New Roman" w:eastAsia="宋体" w:cs="Times New Roman"/>
          <w:sz w:val="20"/>
          <w:szCs w:val="20"/>
          <w:lang w:eastAsia="zh-CN"/>
        </w:rPr>
        <w:t xml:space="preserve"> considered</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on top of the emission requirements are met</w:t>
      </w:r>
      <w:r>
        <w:rPr>
          <w:rFonts w:hint="eastAsia" w:ascii="Times New Roman" w:hAnsi="Times New Roman" w:eastAsia="宋体" w:cs="Times New Roman"/>
          <w:sz w:val="20"/>
          <w:szCs w:val="20"/>
          <w:lang w:val="en-US" w:eastAsia="zh-CN"/>
        </w:rPr>
        <w:t>:</w:t>
      </w:r>
    </w:p>
    <w:p>
      <w:pPr>
        <w:numPr>
          <w:ilvl w:val="0"/>
          <w:numId w:val="14"/>
        </w:numPr>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SUP is </w:t>
      </w:r>
      <w:r>
        <w:rPr>
          <w:rFonts w:hint="default" w:ascii="Times New Roman" w:hAnsi="Times New Roman" w:eastAsia="宋体" w:cs="Times New Roman"/>
          <w:sz w:val="20"/>
          <w:szCs w:val="20"/>
          <w:lang w:eastAsia="zh-CN"/>
        </w:rPr>
        <w:fldChar w:fldCharType="begin"/>
      </w:r>
      <w:r>
        <w:rPr>
          <w:rFonts w:hint="default" w:ascii="Times New Roman" w:hAnsi="Times New Roman" w:eastAsia="宋体" w:cs="Times New Roman"/>
          <w:sz w:val="20"/>
          <w:szCs w:val="20"/>
          <w:lang w:eastAsia="zh-CN"/>
        </w:rPr>
        <w:instrText xml:space="preserve"> HYPERLINK "https://www.baidu.com/link?url=k-JZ3ksHnQuNWNJrXOJmmc9qhMHauMOBAwgS6zCa9JUByRFTCfF0KOBKtOv8EGhmH8FOeyiP9trazhZ2FBrxtS8UPGtDvJl681te1d6rlJCNg3XVIb5CEs94IAMC2SJd&amp;wd=&amp;eqid=8da5ced30001f8170000000659a7676b" \t "_blank" </w:instrText>
      </w:r>
      <w:r>
        <w:rPr>
          <w:rFonts w:hint="default" w:ascii="Times New Roman" w:hAnsi="Times New Roman" w:eastAsia="宋体" w:cs="Times New Roman"/>
          <w:sz w:val="20"/>
          <w:szCs w:val="20"/>
          <w:lang w:eastAsia="zh-CN"/>
        </w:rPr>
        <w:fldChar w:fldCharType="separate"/>
      </w:r>
      <w:r>
        <w:rPr>
          <w:rFonts w:hint="default" w:ascii="Times New Roman" w:hAnsi="Times New Roman" w:eastAsia="宋体" w:cs="Times New Roman"/>
          <w:sz w:val="20"/>
          <w:szCs w:val="20"/>
          <w:lang w:eastAsia="zh-CN"/>
        </w:rPr>
        <w:t>monotone increasing</w:t>
      </w:r>
      <w:r>
        <w:rPr>
          <w:rFonts w:hint="default" w:ascii="Times New Roman" w:hAnsi="Times New Roman" w:eastAsia="宋体" w:cs="Times New Roman"/>
          <w:sz w:val="20"/>
          <w:szCs w:val="20"/>
          <w:lang w:eastAsia="zh-CN"/>
        </w:rPr>
        <w:fldChar w:fldCharType="end"/>
      </w:r>
      <w:r>
        <w:rPr>
          <w:rFonts w:hint="default" w:ascii="Times New Roman" w:hAnsi="Times New Roman" w:eastAsia="宋体" w:cs="Times New Roman"/>
          <w:sz w:val="20"/>
          <w:szCs w:val="20"/>
          <w:lang w:eastAsia="zh-CN"/>
        </w:rPr>
        <w:t xml:space="preserve"> as the CBW increases.</w:t>
      </w:r>
    </w:p>
    <w:p>
      <w:pPr>
        <w:numPr>
          <w:ilvl w:val="0"/>
          <w:numId w:val="14"/>
        </w:numPr>
        <w:spacing w:after="120"/>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The configured RB number should be integer.</w:t>
      </w:r>
    </w:p>
    <w:p>
      <w:pPr>
        <w:pStyle w:val="25"/>
        <w:rPr>
          <w:rFonts w:hint="default" w:ascii="Times New Roman" w:hAnsi="Times New Roman" w:cs="Times New Roman"/>
          <w:color w:val="auto"/>
          <w:kern w:val="0"/>
          <w:sz w:val="20"/>
          <w:szCs w:val="20"/>
          <w:lang w:val="en-GB" w:eastAsia="zh-CN"/>
        </w:rPr>
      </w:pPr>
      <w:r>
        <w:rPr>
          <w:rFonts w:hint="default" w:ascii="Times New Roman" w:hAnsi="Times New Roman" w:cs="Times New Roman"/>
          <w:color w:val="auto"/>
          <w:kern w:val="0"/>
          <w:sz w:val="20"/>
          <w:szCs w:val="20"/>
          <w:lang w:val="en-GB" w:eastAsia="zh-CN"/>
        </w:rPr>
        <w:t xml:space="preserve">It is no doubt that the point 2 must be met. </w:t>
      </w:r>
      <w:r>
        <w:rPr>
          <w:rFonts w:hint="eastAsia" w:ascii="Times New Roman" w:hAnsi="Times New Roman" w:eastAsia="宋体" w:cs="Times New Roman"/>
          <w:color w:val="auto"/>
          <w:sz w:val="20"/>
          <w:szCs w:val="20"/>
          <w:lang w:val="en-US" w:eastAsia="zh-CN"/>
        </w:rPr>
        <w:t xml:space="preserve">There are some steps for the </w:t>
      </w:r>
      <w:r>
        <w:rPr>
          <w:rFonts w:hint="default" w:ascii="Times New Roman" w:hAnsi="Times New Roman" w:cs="Times New Roman"/>
          <w:color w:val="auto"/>
          <w:sz w:val="20"/>
          <w:szCs w:val="20"/>
          <w:lang w:eastAsia="zh-CN"/>
        </w:rPr>
        <w:t>interpolation methods</w:t>
      </w:r>
      <w:r>
        <w:rPr>
          <w:rFonts w:hint="eastAsia" w:ascii="Times New Roman" w:hAnsi="Times New Roman" w:cs="Times New Roman"/>
          <w:color w:val="auto"/>
          <w:sz w:val="20"/>
          <w:szCs w:val="20"/>
          <w:lang w:val="en-US" w:eastAsia="zh-CN"/>
        </w:rPr>
        <w:t xml:space="preserve">: Firstly </w:t>
      </w:r>
      <w:r>
        <w:rPr>
          <w:rFonts w:hint="eastAsia" w:ascii="Times New Roman" w:hAnsi="Times New Roman" w:eastAsia="宋体" w:cs="Times New Roman"/>
          <w:color w:val="auto"/>
          <w:sz w:val="20"/>
          <w:szCs w:val="20"/>
          <w:lang w:val="en-US" w:eastAsia="zh-CN"/>
        </w:rPr>
        <w:t>s</w:t>
      </w:r>
      <w:r>
        <w:rPr>
          <w:rFonts w:hint="eastAsia" w:ascii="Times New Roman" w:hAnsi="Times New Roman" w:eastAsia="宋体" w:cs="Times New Roman"/>
          <w:color w:val="auto"/>
          <w:sz w:val="20"/>
          <w:szCs w:val="20"/>
          <w:lang w:eastAsia="zh-CN"/>
        </w:rPr>
        <w:t>elect</w:t>
      </w:r>
      <w:r>
        <w:rPr>
          <w:rFonts w:hint="eastAsia" w:ascii="Times New Roman" w:hAnsi="Times New Roman" w:eastAsia="宋体" w:cs="Times New Roman"/>
          <w:color w:val="auto"/>
          <w:sz w:val="20"/>
          <w:szCs w:val="20"/>
          <w:lang w:val="en-US" w:eastAsia="zh-CN"/>
        </w:rPr>
        <w:t>ing</w:t>
      </w:r>
      <w:r>
        <w:rPr>
          <w:rFonts w:hint="eastAsia" w:ascii="Times New Roman" w:hAnsi="Times New Roman" w:eastAsia="宋体" w:cs="Times New Roman"/>
          <w:color w:val="auto"/>
          <w:sz w:val="20"/>
          <w:szCs w:val="20"/>
          <w:lang w:eastAsia="zh-CN"/>
        </w:rPr>
        <w:t xml:space="preserve"> the two CBW </w:t>
      </w:r>
      <w:r>
        <w:rPr>
          <w:rFonts w:ascii="Times New Roman" w:hAnsi="Times New Roman" w:eastAsia="宋体" w:cs="Times New Roman"/>
          <w:color w:val="auto"/>
          <w:sz w:val="20"/>
          <w:szCs w:val="20"/>
          <w:lang w:eastAsia="zh-CN"/>
        </w:rPr>
        <w:t xml:space="preserve">points </w:t>
      </w:r>
      <w:r>
        <w:rPr>
          <w:rFonts w:hint="eastAsia" w:ascii="Times New Roman" w:hAnsi="Times New Roman" w:eastAsia="宋体" w:cs="Times New Roman"/>
          <w:color w:val="auto"/>
          <w:sz w:val="20"/>
          <w:szCs w:val="20"/>
          <w:lang w:eastAsia="zh-CN"/>
        </w:rPr>
        <w:t>nearest to the CBW</w:t>
      </w:r>
      <w:r>
        <w:rPr>
          <w:rFonts w:hint="eastAsia" w:ascii="Times New Roman" w:hAnsi="Times New Roman" w:eastAsia="宋体" w:cs="Times New Roman"/>
          <w:color w:val="auto"/>
          <w:sz w:val="20"/>
          <w:szCs w:val="20"/>
          <w:vertAlign w:val="subscript"/>
          <w:lang w:eastAsia="zh-CN"/>
        </w:rPr>
        <w:t>x</w:t>
      </w:r>
      <w:r>
        <w:rPr>
          <w:rFonts w:hint="eastAsia" w:ascii="Times New Roman" w:hAnsi="Times New Roman" w:eastAsia="宋体" w:cs="Times New Roman"/>
          <w:color w:val="auto"/>
          <w:sz w:val="20"/>
          <w:szCs w:val="20"/>
          <w:lang w:eastAsia="zh-CN"/>
        </w:rPr>
        <w:t xml:space="preserve"> </w:t>
      </w:r>
      <w:r>
        <w:rPr>
          <w:rFonts w:ascii="Times New Roman" w:hAnsi="Times New Roman" w:eastAsia="宋体" w:cs="Times New Roman"/>
          <w:color w:val="auto"/>
          <w:sz w:val="20"/>
          <w:szCs w:val="20"/>
          <w:lang w:eastAsia="zh-CN"/>
        </w:rPr>
        <w:t>as</w:t>
      </w:r>
      <w:r>
        <w:rPr>
          <w:rFonts w:hint="eastAsia" w:ascii="Times New Roman" w:hAnsi="Times New Roman" w:eastAsia="宋体" w:cs="Times New Roman"/>
          <w:color w:val="auto"/>
          <w:sz w:val="20"/>
          <w:szCs w:val="20"/>
          <w:lang w:eastAsia="zh-CN"/>
        </w:rPr>
        <w:t xml:space="preserve"> the </w:t>
      </w:r>
      <w:r>
        <w:rPr>
          <w:rFonts w:ascii="Times New Roman" w:hAnsi="Times New Roman" w:eastAsia="宋体" w:cs="Times New Roman"/>
          <w:color w:val="auto"/>
          <w:sz w:val="20"/>
          <w:szCs w:val="20"/>
          <w:lang w:eastAsia="zh-CN"/>
        </w:rPr>
        <w:t>interpolation</w:t>
      </w:r>
      <w:r>
        <w:rPr>
          <w:rFonts w:hint="eastAsia" w:ascii="Times New Roman" w:hAnsi="Times New Roman" w:eastAsia="宋体" w:cs="Times New Roman"/>
          <w:color w:val="auto"/>
          <w:sz w:val="20"/>
          <w:szCs w:val="20"/>
          <w:lang w:eastAsia="zh-CN"/>
        </w:rPr>
        <w:t xml:space="preserve"> points</w:t>
      </w:r>
      <w:r>
        <w:rPr>
          <w:rFonts w:hint="eastAsia" w:ascii="Times New Roman" w:hAnsi="Times New Roman" w:eastAsia="宋体" w:cs="Times New Roman"/>
          <w:color w:val="auto"/>
          <w:sz w:val="20"/>
          <w:szCs w:val="20"/>
          <w:lang w:val="en-US" w:eastAsia="zh-CN"/>
        </w:rPr>
        <w:t>, for example 30MHz and 40MHz are selected for 35MHz. Secondly, c</w:t>
      </w:r>
      <w:r>
        <w:rPr>
          <w:rFonts w:ascii="Times New Roman" w:hAnsi="Times New Roman" w:eastAsia="宋体" w:cs="Times New Roman"/>
          <w:color w:val="auto"/>
          <w:sz w:val="20"/>
          <w:szCs w:val="20"/>
          <w:lang w:eastAsia="zh-CN"/>
        </w:rPr>
        <w:t>alculate</w:t>
      </w:r>
      <w:r>
        <w:rPr>
          <w:rFonts w:hint="eastAsia" w:ascii="Times New Roman" w:hAnsi="Times New Roman" w:eastAsia="宋体" w:cs="Times New Roman"/>
          <w:color w:val="auto"/>
          <w:sz w:val="20"/>
          <w:szCs w:val="20"/>
          <w:lang w:eastAsia="zh-CN"/>
        </w:rPr>
        <w:t xml:space="preserve"> the </w:t>
      </w:r>
      <w:r>
        <w:rPr>
          <w:rFonts w:ascii="Times New Roman" w:hAnsi="Times New Roman" w:eastAsia="宋体" w:cs="Times New Roman"/>
          <w:color w:val="auto"/>
          <w:sz w:val="20"/>
          <w:szCs w:val="20"/>
          <w:lang w:eastAsia="zh-CN"/>
        </w:rPr>
        <w:t>∆</w:t>
      </w:r>
      <w:r>
        <w:rPr>
          <w:rFonts w:hint="eastAsia" w:ascii="Times New Roman" w:hAnsi="Times New Roman" w:eastAsia="宋体" w:cs="Times New Roman"/>
          <w:color w:val="auto"/>
          <w:sz w:val="20"/>
          <w:szCs w:val="20"/>
          <w:lang w:eastAsia="zh-CN"/>
        </w:rPr>
        <w:t>= [SUP</w:t>
      </w:r>
      <w:r>
        <w:rPr>
          <w:rFonts w:hint="eastAsia" w:ascii="Times New Roman" w:hAnsi="Times New Roman" w:eastAsia="宋体" w:cs="Times New Roman"/>
          <w:color w:val="auto"/>
          <w:sz w:val="20"/>
          <w:szCs w:val="20"/>
          <w:vertAlign w:val="subscript"/>
          <w:lang w:eastAsia="zh-CN"/>
        </w:rPr>
        <w:t>2</w:t>
      </w:r>
      <w:r>
        <w:rPr>
          <w:rFonts w:hint="eastAsia" w:ascii="Times New Roman" w:hAnsi="Times New Roman" w:eastAsia="宋体" w:cs="Times New Roman"/>
          <w:color w:val="auto"/>
          <w:sz w:val="20"/>
          <w:szCs w:val="20"/>
          <w:lang w:eastAsia="zh-CN"/>
        </w:rPr>
        <w:t>- SUP</w:t>
      </w:r>
      <w:r>
        <w:rPr>
          <w:rFonts w:hint="eastAsia" w:ascii="Times New Roman" w:hAnsi="Times New Roman" w:eastAsia="宋体" w:cs="Times New Roman"/>
          <w:color w:val="auto"/>
          <w:sz w:val="20"/>
          <w:szCs w:val="20"/>
          <w:vertAlign w:val="subscript"/>
          <w:lang w:eastAsia="zh-CN"/>
        </w:rPr>
        <w:t>1</w:t>
      </w:r>
      <w:r>
        <w:rPr>
          <w:rFonts w:hint="eastAsia" w:ascii="Times New Roman" w:hAnsi="Times New Roman" w:eastAsia="宋体" w:cs="Times New Roman"/>
          <w:color w:val="auto"/>
          <w:sz w:val="20"/>
          <w:szCs w:val="20"/>
          <w:lang w:eastAsia="zh-CN"/>
        </w:rPr>
        <w:t>]/[CBW</w:t>
      </w:r>
      <w:r>
        <w:rPr>
          <w:rFonts w:hint="eastAsia" w:ascii="Times New Roman" w:hAnsi="Times New Roman" w:eastAsia="宋体" w:cs="Times New Roman"/>
          <w:color w:val="auto"/>
          <w:sz w:val="20"/>
          <w:szCs w:val="20"/>
          <w:vertAlign w:val="subscript"/>
          <w:lang w:eastAsia="zh-CN"/>
        </w:rPr>
        <w:t>2</w:t>
      </w:r>
      <w:r>
        <w:rPr>
          <w:rFonts w:hint="eastAsia" w:ascii="Times New Roman" w:hAnsi="Times New Roman" w:eastAsia="宋体" w:cs="Times New Roman"/>
          <w:color w:val="auto"/>
          <w:sz w:val="20"/>
          <w:szCs w:val="20"/>
          <w:lang w:eastAsia="zh-CN"/>
        </w:rPr>
        <w:t>-CBW</w:t>
      </w:r>
      <w:r>
        <w:rPr>
          <w:rFonts w:hint="eastAsia" w:ascii="Times New Roman" w:hAnsi="Times New Roman" w:eastAsia="宋体" w:cs="Times New Roman"/>
          <w:color w:val="auto"/>
          <w:sz w:val="20"/>
          <w:szCs w:val="20"/>
          <w:vertAlign w:val="subscript"/>
          <w:lang w:eastAsia="zh-CN"/>
        </w:rPr>
        <w:t>1</w:t>
      </w:r>
      <w:r>
        <w:rPr>
          <w:rFonts w:hint="eastAsia" w:ascii="Times New Roman" w:hAnsi="Times New Roman" w:eastAsia="宋体" w:cs="Times New Roman"/>
          <w:color w:val="auto"/>
          <w:sz w:val="20"/>
          <w:szCs w:val="20"/>
          <w:lang w:eastAsia="zh-CN"/>
        </w:rPr>
        <w:t>]* (CBW</w:t>
      </w:r>
      <w:r>
        <w:rPr>
          <w:rFonts w:hint="eastAsia" w:ascii="Times New Roman" w:hAnsi="Times New Roman" w:eastAsia="宋体" w:cs="Times New Roman"/>
          <w:color w:val="auto"/>
          <w:sz w:val="20"/>
          <w:szCs w:val="20"/>
          <w:vertAlign w:val="subscript"/>
          <w:lang w:eastAsia="zh-CN"/>
        </w:rPr>
        <w:t>x</w:t>
      </w:r>
      <w:r>
        <w:rPr>
          <w:rFonts w:hint="eastAsia" w:ascii="Times New Roman" w:hAnsi="Times New Roman" w:eastAsia="宋体" w:cs="Times New Roman"/>
          <w:color w:val="auto"/>
          <w:sz w:val="20"/>
          <w:szCs w:val="20"/>
          <w:lang w:eastAsia="zh-CN"/>
        </w:rPr>
        <w:t>-CBW</w:t>
      </w:r>
      <w:r>
        <w:rPr>
          <w:rFonts w:hint="eastAsia" w:ascii="Times New Roman" w:hAnsi="Times New Roman" w:eastAsia="宋体" w:cs="Times New Roman"/>
          <w:color w:val="auto"/>
          <w:sz w:val="20"/>
          <w:szCs w:val="20"/>
          <w:vertAlign w:val="subscript"/>
          <w:lang w:eastAsia="zh-CN"/>
        </w:rPr>
        <w:t>1</w:t>
      </w:r>
      <w:r>
        <w:rPr>
          <w:rFonts w:hint="eastAsia" w:ascii="Times New Roman" w:hAnsi="Times New Roman" w:eastAsia="宋体" w:cs="Times New Roman"/>
          <w:color w:val="auto"/>
          <w:sz w:val="20"/>
          <w:szCs w:val="20"/>
          <w:lang w:eastAsia="zh-CN"/>
        </w:rPr>
        <w:t>)</w:t>
      </w:r>
      <w:r>
        <w:rPr>
          <w:rFonts w:hint="eastAsia" w:ascii="Times New Roman" w:hAnsi="Times New Roman" w:eastAsia="宋体" w:cs="Times New Roman"/>
          <w:color w:val="auto"/>
          <w:sz w:val="20"/>
          <w:szCs w:val="20"/>
          <w:lang w:val="en-US" w:eastAsia="zh-CN"/>
        </w:rPr>
        <w:t xml:space="preserve">, then we can get SUPx = </w:t>
      </w:r>
      <w:r>
        <w:rPr>
          <w:rFonts w:hint="eastAsia" w:ascii="Times New Roman" w:hAnsi="Times New Roman" w:eastAsia="宋体" w:cs="Times New Roman"/>
          <w:color w:val="auto"/>
          <w:sz w:val="20"/>
          <w:szCs w:val="20"/>
          <w:lang w:eastAsia="zh-CN"/>
        </w:rPr>
        <w:t>SUP</w:t>
      </w:r>
      <w:r>
        <w:rPr>
          <w:rFonts w:hint="eastAsia" w:ascii="Times New Roman" w:hAnsi="Times New Roman" w:eastAsia="宋体" w:cs="Times New Roman"/>
          <w:color w:val="auto"/>
          <w:sz w:val="20"/>
          <w:szCs w:val="20"/>
          <w:vertAlign w:val="subscript"/>
          <w:lang w:eastAsia="zh-CN"/>
        </w:rPr>
        <w:t>1</w:t>
      </w:r>
      <w:r>
        <w:rPr>
          <w:rFonts w:hint="eastAsia" w:ascii="Times New Roman" w:hAnsi="Times New Roman" w:eastAsia="宋体" w:cs="Times New Roman"/>
          <w:color w:val="auto"/>
          <w:sz w:val="20"/>
          <w:szCs w:val="20"/>
          <w:lang w:eastAsia="zh-CN"/>
        </w:rPr>
        <w:t xml:space="preserve"> +</w:t>
      </w:r>
      <w:r>
        <w:rPr>
          <w:rFonts w:ascii="Times New Roman" w:hAnsi="Times New Roman" w:eastAsia="宋体" w:cs="Times New Roman"/>
          <w:color w:val="auto"/>
          <w:sz w:val="20"/>
          <w:szCs w:val="20"/>
          <w:lang w:eastAsia="zh-CN"/>
        </w:rPr>
        <w:t>∆</w:t>
      </w:r>
      <w:r>
        <w:rPr>
          <w:rFonts w:hint="eastAsia" w:ascii="Times New Roman" w:hAnsi="Times New Roman" w:eastAsia="宋体" w:cs="Times New Roman"/>
          <w:color w:val="auto"/>
          <w:sz w:val="20"/>
          <w:szCs w:val="20"/>
          <w:lang w:val="en-US" w:eastAsia="zh-CN"/>
        </w:rPr>
        <w:t xml:space="preserve">. Lastly, we can calculate the supported </w:t>
      </w:r>
      <w:r>
        <w:rPr>
          <w:rFonts w:hint="default" w:ascii="Times New Roman" w:hAnsi="Times New Roman" w:cs="Times New Roman"/>
          <w:color w:val="auto"/>
          <w:kern w:val="0"/>
          <w:sz w:val="20"/>
          <w:szCs w:val="20"/>
          <w:lang w:val="en-GB" w:eastAsia="zh-CN"/>
        </w:rPr>
        <w:t>N</w:t>
      </w:r>
      <w:r>
        <w:rPr>
          <w:rFonts w:hint="default" w:ascii="Times New Roman" w:hAnsi="Times New Roman" w:cs="Times New Roman"/>
          <w:color w:val="auto"/>
          <w:kern w:val="0"/>
          <w:sz w:val="20"/>
          <w:szCs w:val="20"/>
          <w:vertAlign w:val="subscript"/>
          <w:lang w:val="en-GB" w:eastAsia="zh-CN"/>
        </w:rPr>
        <w:t>RB</w:t>
      </w:r>
      <w:r>
        <w:rPr>
          <w:rFonts w:hint="eastAsia" w:ascii="Times New Roman" w:hAnsi="Times New Roman" w:cs="Times New Roman"/>
          <w:color w:val="auto"/>
          <w:kern w:val="0"/>
          <w:sz w:val="20"/>
          <w:szCs w:val="20"/>
          <w:vertAlign w:val="subscript"/>
          <w:lang w:val="en-US" w:eastAsia="zh-CN"/>
        </w:rPr>
        <w:t xml:space="preserve"> </w:t>
      </w:r>
      <w:r>
        <w:rPr>
          <w:rFonts w:hint="eastAsia" w:ascii="Times New Roman" w:hAnsi="Times New Roman" w:eastAsia="宋体" w:cs="Times New Roman"/>
          <w:color w:val="auto"/>
          <w:sz w:val="20"/>
          <w:szCs w:val="20"/>
          <w:lang w:val="en-US" w:eastAsia="zh-CN"/>
        </w:rPr>
        <w:t xml:space="preserve">for the new channel bandwidth, which is </w:t>
      </w:r>
      <w:r>
        <w:rPr>
          <w:rFonts w:hint="default" w:ascii="Times New Roman" w:hAnsi="Times New Roman" w:cs="Times New Roman"/>
          <w:color w:val="auto"/>
          <w:kern w:val="0"/>
          <w:sz w:val="20"/>
          <w:szCs w:val="20"/>
          <w:lang w:val="en-GB" w:eastAsia="zh-CN"/>
        </w:rPr>
        <w:t>N</w:t>
      </w:r>
      <w:r>
        <w:rPr>
          <w:rFonts w:hint="default" w:ascii="Times New Roman" w:hAnsi="Times New Roman" w:cs="Times New Roman"/>
          <w:color w:val="auto"/>
          <w:kern w:val="0"/>
          <w:sz w:val="20"/>
          <w:szCs w:val="20"/>
          <w:vertAlign w:val="subscript"/>
          <w:lang w:val="en-GB" w:eastAsia="zh-CN"/>
        </w:rPr>
        <w:t>RB</w:t>
      </w:r>
      <w:r>
        <w:rPr>
          <w:rFonts w:hint="default" w:ascii="Times New Roman" w:hAnsi="Times New Roman" w:cs="Times New Roman"/>
          <w:color w:val="auto"/>
          <w:kern w:val="0"/>
          <w:sz w:val="20"/>
          <w:szCs w:val="20"/>
          <w:lang w:val="en-GB" w:eastAsia="zh-CN"/>
        </w:rPr>
        <w:t xml:space="preserve"> = CBW*SUP, the result of N</w:t>
      </w:r>
      <w:r>
        <w:rPr>
          <w:rFonts w:hint="default" w:ascii="Times New Roman" w:hAnsi="Times New Roman" w:cs="Times New Roman"/>
          <w:color w:val="auto"/>
          <w:kern w:val="0"/>
          <w:sz w:val="20"/>
          <w:szCs w:val="20"/>
          <w:vertAlign w:val="subscript"/>
          <w:lang w:val="en-GB" w:eastAsia="zh-CN"/>
        </w:rPr>
        <w:t>RB</w:t>
      </w:r>
      <w:r>
        <w:rPr>
          <w:rFonts w:hint="default" w:ascii="Times New Roman" w:hAnsi="Times New Roman" w:cs="Times New Roman"/>
          <w:color w:val="auto"/>
          <w:kern w:val="0"/>
          <w:sz w:val="20"/>
          <w:szCs w:val="20"/>
          <w:lang w:val="en-GB" w:eastAsia="zh-CN"/>
        </w:rPr>
        <w:t xml:space="preserve"> may not be integer.</w:t>
      </w:r>
      <w:r>
        <w:rPr>
          <w:rFonts w:hint="eastAsia" w:ascii="Times New Roman" w:hAnsi="Times New Roman" w:cs="Times New Roman"/>
          <w:color w:val="auto"/>
          <w:kern w:val="0"/>
          <w:sz w:val="20"/>
          <w:szCs w:val="20"/>
          <w:lang w:val="en-US" w:eastAsia="zh-CN"/>
        </w:rPr>
        <w:t xml:space="preserve"> </w:t>
      </w:r>
      <w:r>
        <w:rPr>
          <w:rFonts w:hint="eastAsia" w:ascii="Times New Roman" w:hAnsi="Times New Roman" w:eastAsia="宋体" w:cs="Times New Roman"/>
          <w:color w:val="auto"/>
          <w:sz w:val="20"/>
          <w:szCs w:val="20"/>
          <w:lang w:val="en-GB" w:eastAsia="zh-CN"/>
        </w:rPr>
        <w:t>Consequently SUP may be decreased, which mean the above two points may not always be met at the same time.</w:t>
      </w:r>
    </w:p>
    <w:p>
      <w:pPr>
        <w:pStyle w:val="25"/>
        <w:rPr>
          <w:rFonts w:hint="default" w:ascii="Times New Roman" w:hAnsi="Times New Roman" w:cs="Times New Roman"/>
          <w:sz w:val="20"/>
          <w:szCs w:val="20"/>
          <w:lang w:eastAsia="zh-CN"/>
        </w:rPr>
      </w:pPr>
      <w:r>
        <w:rPr>
          <w:rFonts w:hint="default" w:ascii="Times New Roman" w:hAnsi="Times New Roman" w:cs="Times New Roman"/>
          <w:color w:val="auto"/>
          <w:kern w:val="0"/>
          <w:sz w:val="20"/>
          <w:szCs w:val="20"/>
          <w:lang w:val="en-GB" w:eastAsia="zh-CN"/>
        </w:rPr>
        <w:t xml:space="preserve">By using the </w:t>
      </w:r>
      <w:r>
        <w:rPr>
          <w:rFonts w:hint="eastAsia" w:ascii="Times New Roman" w:hAnsi="Times New Roman" w:cs="Times New Roman"/>
          <w:color w:val="auto"/>
          <w:kern w:val="0"/>
          <w:sz w:val="20"/>
          <w:szCs w:val="20"/>
          <w:lang w:val="en-US" w:eastAsia="zh-CN"/>
        </w:rPr>
        <w:t xml:space="preserve">above </w:t>
      </w:r>
      <w:r>
        <w:rPr>
          <w:rFonts w:hint="default" w:ascii="Times New Roman" w:hAnsi="Times New Roman" w:cs="Times New Roman"/>
          <w:color w:val="auto"/>
          <w:kern w:val="0"/>
          <w:sz w:val="20"/>
          <w:szCs w:val="20"/>
          <w:lang w:val="en-GB" w:eastAsia="zh-CN"/>
        </w:rPr>
        <w:t>methods, we propose the spectrum utilization for the new channel bandwidths of 3</w:t>
      </w:r>
      <w:r>
        <w:rPr>
          <w:rFonts w:hint="eastAsia" w:ascii="Times New Roman" w:hAnsi="Times New Roman" w:cs="Times New Roman"/>
          <w:color w:val="auto"/>
          <w:kern w:val="0"/>
          <w:sz w:val="20"/>
          <w:szCs w:val="20"/>
          <w:lang w:val="en-US" w:eastAsia="zh-CN"/>
        </w:rPr>
        <w:t>5MHz and</w:t>
      </w:r>
      <w:r>
        <w:rPr>
          <w:rFonts w:hint="default" w:ascii="Times New Roman" w:hAnsi="Times New Roman" w:cs="Times New Roman"/>
          <w:color w:val="auto"/>
          <w:kern w:val="0"/>
          <w:sz w:val="20"/>
          <w:szCs w:val="20"/>
          <w:lang w:val="en-GB" w:eastAsia="zh-CN"/>
        </w:rPr>
        <w:t xml:space="preserve"> </w:t>
      </w:r>
      <w:r>
        <w:rPr>
          <w:rFonts w:hint="eastAsia" w:ascii="Times New Roman" w:hAnsi="Times New Roman" w:cs="Times New Roman"/>
          <w:color w:val="auto"/>
          <w:kern w:val="0"/>
          <w:sz w:val="20"/>
          <w:szCs w:val="20"/>
          <w:lang w:val="en-US" w:eastAsia="zh-CN"/>
        </w:rPr>
        <w:t>45</w:t>
      </w:r>
      <w:r>
        <w:rPr>
          <w:rFonts w:hint="default" w:ascii="Times New Roman" w:hAnsi="Times New Roman" w:cs="Times New Roman"/>
          <w:color w:val="auto"/>
          <w:kern w:val="0"/>
          <w:sz w:val="20"/>
          <w:szCs w:val="20"/>
          <w:lang w:val="en-GB" w:eastAsia="zh-CN"/>
        </w:rPr>
        <w:t>MHz in table 2.</w:t>
      </w:r>
      <w:r>
        <w:rPr>
          <w:rFonts w:hint="default" w:ascii="Times New Roman" w:hAnsi="Times New Roman" w:cs="Times New Roman"/>
          <w:sz w:val="20"/>
          <w:szCs w:val="20"/>
          <w:lang w:eastAsia="zh-CN"/>
        </w:rPr>
        <w:t xml:space="preserve">  </w:t>
      </w:r>
    </w:p>
    <w:p>
      <w:pPr>
        <w:pStyle w:val="25"/>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2. Proposed spectrum utilization for 35MHz and 45MHz</w:t>
      </w:r>
    </w:p>
    <w:tbl>
      <w:tblPr>
        <w:tblStyle w:val="93"/>
        <w:tblpPr w:leftFromText="142" w:rightFromText="142" w:vertAnchor="text" w:tblpXSpec="center" w:tblpY="1"/>
        <w:tblOverlap w:val="never"/>
        <w:tblW w:w="46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7"/>
        <w:gridCol w:w="795"/>
        <w:gridCol w:w="795"/>
        <w:gridCol w:w="795"/>
        <w:gridCol w:w="79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37" w:type="dxa"/>
            <w:vMerge w:val="restart"/>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SCS (kHz)</w:t>
            </w: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30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yellow"/>
                <w:lang w:val="en-US" w:eastAsia="zh-CN"/>
              </w:rPr>
            </w:pPr>
            <w:r>
              <w:rPr>
                <w:rFonts w:hint="eastAsia" w:eastAsia="宋体"/>
                <w:color w:val="auto"/>
                <w:highlight w:val="yellow"/>
                <w:lang w:val="en-US" w:eastAsia="zh-CN"/>
              </w:rPr>
              <w:t>35MHz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40 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yellow"/>
                <w:lang w:val="en-US" w:eastAsia="zh-CN"/>
              </w:rPr>
            </w:pPr>
            <w:r>
              <w:rPr>
                <w:rFonts w:hint="eastAsia" w:eastAsia="宋体"/>
                <w:color w:val="auto"/>
                <w:highlight w:val="yellow"/>
                <w:lang w:val="en-US" w:eastAsia="zh-CN"/>
              </w:rPr>
              <w:t>45MHz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5" w:hRule="atLeast"/>
        </w:trPr>
        <w:tc>
          <w:tcPr>
            <w:tcW w:w="637" w:type="dxa"/>
            <w:vMerge w:val="continue"/>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p>
        </w:tc>
        <w:tc>
          <w:tcPr>
            <w:tcW w:w="795" w:type="dxa"/>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yellow"/>
              </w:rPr>
            </w:pPr>
            <w:r>
              <w:rPr>
                <w:color w:val="auto"/>
                <w:highlight w:val="yellow"/>
              </w:rPr>
              <w:t>N</w:t>
            </w:r>
            <w:r>
              <w:rPr>
                <w:color w:val="auto"/>
                <w:highlight w:val="yellow"/>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yellow"/>
              </w:rPr>
            </w:pPr>
            <w:r>
              <w:rPr>
                <w:color w:val="auto"/>
                <w:highlight w:val="yellow"/>
              </w:rPr>
              <w:t>N</w:t>
            </w:r>
            <w:r>
              <w:rPr>
                <w:color w:val="auto"/>
                <w:highlight w:val="yellow"/>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rPr>
            </w:pPr>
            <w:r>
              <w:rPr>
                <w:color w:val="auto"/>
              </w:rPr>
              <w:t>N</w:t>
            </w:r>
            <w:r>
              <w:rPr>
                <w:color w:val="aut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637" w:type="dxa"/>
            <w:tcMar>
              <w:top w:w="15" w:type="dxa"/>
              <w:left w:w="81" w:type="dxa"/>
              <w:bottom w:w="0" w:type="dxa"/>
              <w:right w:w="81" w:type="dxa"/>
            </w:tcMar>
            <w:vAlign w:val="center"/>
          </w:tcPr>
          <w:p>
            <w:pPr>
              <w:pStyle w:val="177"/>
              <w:rPr>
                <w:color w:val="auto"/>
              </w:rPr>
            </w:pPr>
            <w:r>
              <w:rPr>
                <w:color w:val="auto"/>
              </w:rPr>
              <w:t>15</w:t>
            </w:r>
          </w:p>
        </w:tc>
        <w:tc>
          <w:tcPr>
            <w:tcW w:w="795" w:type="dxa"/>
            <w:vAlign w:val="center"/>
          </w:tcPr>
          <w:p>
            <w:pPr>
              <w:pStyle w:val="177"/>
              <w:rPr>
                <w:color w:val="auto"/>
              </w:rPr>
            </w:pPr>
            <w:r>
              <w:rPr>
                <w:color w:val="auto"/>
              </w:rPr>
              <w:t>160</w:t>
            </w:r>
          </w:p>
        </w:tc>
        <w:tc>
          <w:tcPr>
            <w:tcW w:w="795" w:type="dxa"/>
            <w:tcMar>
              <w:top w:w="15" w:type="dxa"/>
              <w:left w:w="81" w:type="dxa"/>
              <w:bottom w:w="0" w:type="dxa"/>
              <w:right w:w="81" w:type="dxa"/>
            </w:tcMar>
            <w:vAlign w:val="center"/>
          </w:tcPr>
          <w:p>
            <w:pPr>
              <w:pStyle w:val="177"/>
              <w:rPr>
                <w:rFonts w:hint="default" w:eastAsia="宋体"/>
                <w:color w:val="auto"/>
                <w:highlight w:val="yellow"/>
                <w:lang w:val="en-US" w:eastAsia="zh-CN"/>
              </w:rPr>
            </w:pPr>
            <w:r>
              <w:rPr>
                <w:rFonts w:hint="eastAsia" w:eastAsia="宋体"/>
                <w:color w:val="auto"/>
                <w:highlight w:val="yellow"/>
                <w:lang w:val="en-US" w:eastAsia="zh-CN"/>
              </w:rPr>
              <w:t>188</w:t>
            </w:r>
          </w:p>
        </w:tc>
        <w:tc>
          <w:tcPr>
            <w:tcW w:w="795" w:type="dxa"/>
            <w:tcMar>
              <w:top w:w="15" w:type="dxa"/>
              <w:left w:w="81" w:type="dxa"/>
              <w:bottom w:w="0" w:type="dxa"/>
              <w:right w:w="81" w:type="dxa"/>
            </w:tcMar>
            <w:vAlign w:val="center"/>
          </w:tcPr>
          <w:p>
            <w:pPr>
              <w:pStyle w:val="177"/>
              <w:rPr>
                <w:color w:val="auto"/>
              </w:rPr>
            </w:pPr>
            <w:r>
              <w:rPr>
                <w:color w:val="auto"/>
              </w:rPr>
              <w:t>216</w:t>
            </w:r>
          </w:p>
        </w:tc>
        <w:tc>
          <w:tcPr>
            <w:tcW w:w="795" w:type="dxa"/>
            <w:tcMar>
              <w:top w:w="15" w:type="dxa"/>
              <w:left w:w="81" w:type="dxa"/>
              <w:bottom w:w="0" w:type="dxa"/>
              <w:right w:w="81" w:type="dxa"/>
            </w:tcMar>
            <w:vAlign w:val="center"/>
          </w:tcPr>
          <w:p>
            <w:pPr>
              <w:pStyle w:val="177"/>
              <w:rPr>
                <w:rFonts w:hint="default" w:eastAsia="宋体"/>
                <w:color w:val="auto"/>
                <w:highlight w:val="yellow"/>
                <w:lang w:val="en-US" w:eastAsia="zh-CN"/>
              </w:rPr>
            </w:pPr>
            <w:r>
              <w:rPr>
                <w:rFonts w:hint="eastAsia" w:eastAsia="宋体"/>
                <w:color w:val="auto"/>
                <w:highlight w:val="yellow"/>
                <w:lang w:val="en-US" w:eastAsia="zh-CN"/>
              </w:rPr>
              <w:t>243</w:t>
            </w:r>
          </w:p>
        </w:tc>
        <w:tc>
          <w:tcPr>
            <w:tcW w:w="795" w:type="dxa"/>
            <w:tcMar>
              <w:top w:w="15" w:type="dxa"/>
              <w:left w:w="81" w:type="dxa"/>
              <w:bottom w:w="0" w:type="dxa"/>
              <w:right w:w="81" w:type="dxa"/>
            </w:tcMar>
            <w:vAlign w:val="center"/>
          </w:tcPr>
          <w:p>
            <w:pPr>
              <w:pStyle w:val="177"/>
              <w:rPr>
                <w:color w:val="auto"/>
              </w:rPr>
            </w:pPr>
            <w:r>
              <w:rPr>
                <w:color w:val="auto"/>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eastAsia="宋体"/>
                <w:color w:val="auto"/>
                <w:lang w:val="en-US" w:eastAsia="zh-CN"/>
              </w:rPr>
            </w:pPr>
            <w:r>
              <w:rPr>
                <w:rFonts w:hint="eastAsia" w:eastAsia="宋体"/>
                <w:color w:val="auto"/>
                <w:lang w:val="en-US" w:eastAsia="zh-CN"/>
              </w:rPr>
              <w:t>%</w:t>
            </w:r>
          </w:p>
        </w:tc>
        <w:tc>
          <w:tcPr>
            <w:tcW w:w="795" w:type="dxa"/>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96.00%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color w:val="auto"/>
                <w:kern w:val="2"/>
                <w:sz w:val="18"/>
                <w:szCs w:val="22"/>
                <w:highlight w:val="yellow"/>
                <w:lang w:val="en-US" w:eastAsia="zh-CN" w:bidi="ar-SA"/>
              </w:rPr>
            </w:pPr>
            <w:r>
              <w:rPr>
                <w:rFonts w:hint="eastAsia" w:ascii="Arial" w:hAnsi="Arial" w:eastAsia="宋体" w:cs="Arial"/>
                <w:color w:val="auto"/>
                <w:kern w:val="2"/>
                <w:sz w:val="18"/>
                <w:szCs w:val="22"/>
                <w:highlight w:val="yellow"/>
                <w:lang w:val="en-US" w:eastAsia="zh-CN" w:bidi="ar-SA"/>
              </w:rPr>
              <w:t>96.69%</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color w:val="auto"/>
                <w:kern w:val="2"/>
                <w:sz w:val="18"/>
                <w:szCs w:val="22"/>
                <w:highlight w:val="yellow"/>
                <w:lang w:val="en-US" w:eastAsia="zh-CN" w:bidi="ar-SA"/>
              </w:rPr>
            </w:pPr>
            <w:r>
              <w:rPr>
                <w:rFonts w:hint="eastAsia" w:ascii="Arial" w:hAnsi="Arial" w:eastAsia="宋体" w:cs="Arial"/>
                <w:color w:val="auto"/>
                <w:kern w:val="2"/>
                <w:sz w:val="18"/>
                <w:szCs w:val="22"/>
                <w:highlight w:val="yellow"/>
                <w:lang w:val="en-US" w:eastAsia="zh-CN" w:bidi="ar-SA"/>
              </w:rPr>
              <w:t>97.20%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rPr>
            </w:pPr>
            <w:r>
              <w:rPr>
                <w:color w:val="auto"/>
              </w:rPr>
              <w:t>30</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78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yellow"/>
                <w:lang w:val="en-US" w:eastAsia="zh-CN" w:bidi="ar-SA"/>
              </w:rPr>
            </w:pPr>
            <w:r>
              <w:rPr>
                <w:rFonts w:hint="eastAsia" w:ascii="Arial" w:hAnsi="Arial" w:eastAsia="宋体" w:cs="Arial"/>
                <w:color w:val="auto"/>
                <w:kern w:val="2"/>
                <w:sz w:val="18"/>
                <w:szCs w:val="22"/>
                <w:highlight w:val="yellow"/>
                <w:lang w:val="en-US" w:eastAsia="zh-CN" w:bidi="ar-SA"/>
              </w:rPr>
              <w:t>92</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106</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FF0000"/>
                <w:kern w:val="2"/>
                <w:sz w:val="18"/>
                <w:szCs w:val="22"/>
                <w:highlight w:val="yellow"/>
                <w:lang w:val="en-US" w:eastAsia="zh-CN" w:bidi="ar-SA"/>
              </w:rPr>
            </w:pPr>
            <w:r>
              <w:rPr>
                <w:rFonts w:hint="eastAsia" w:ascii="Arial" w:hAnsi="Arial" w:eastAsia="宋体" w:cs="Arial"/>
                <w:color w:val="FF0000"/>
                <w:kern w:val="2"/>
                <w:sz w:val="18"/>
                <w:szCs w:val="22"/>
                <w:highlight w:val="yellow"/>
                <w:lang w:val="en-US" w:eastAsia="zh-CN" w:bidi="ar-SA"/>
              </w:rPr>
              <w:t>119</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eastAsia="宋体"/>
                <w:color w:val="auto"/>
                <w:lang w:val="en-US" w:eastAsia="zh-CN"/>
              </w:rPr>
            </w:pPr>
            <w:r>
              <w:rPr>
                <w:rFonts w:hint="eastAsia" w:eastAsia="宋体"/>
                <w:color w:val="auto"/>
                <w:lang w:val="en-US" w:eastAsia="zh-CN"/>
              </w:rPr>
              <w:t>%</w:t>
            </w:r>
          </w:p>
        </w:tc>
        <w:tc>
          <w:tcPr>
            <w:tcW w:w="795" w:type="dxa"/>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93.60%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color w:val="auto"/>
                <w:kern w:val="2"/>
                <w:sz w:val="18"/>
                <w:szCs w:val="22"/>
                <w:highlight w:val="yellow"/>
                <w:lang w:val="en-US" w:eastAsia="zh-CN" w:bidi="ar-SA"/>
              </w:rPr>
            </w:pPr>
            <w:r>
              <w:rPr>
                <w:rFonts w:hint="eastAsia" w:ascii="Arial" w:hAnsi="Arial" w:eastAsia="宋体" w:cs="Arial"/>
                <w:color w:val="auto"/>
                <w:kern w:val="2"/>
                <w:sz w:val="18"/>
                <w:szCs w:val="22"/>
                <w:highlight w:val="yellow"/>
                <w:lang w:val="en-US" w:eastAsia="zh-CN" w:bidi="ar-SA"/>
              </w:rPr>
              <w:t>94.63%</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95.40%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default" w:ascii="Arial" w:hAnsi="Arial" w:eastAsia="宋体" w:cs="Arial"/>
                <w:color w:val="FF0000"/>
                <w:kern w:val="2"/>
                <w:sz w:val="18"/>
                <w:szCs w:val="22"/>
                <w:highlight w:val="yellow"/>
                <w:lang w:val="en-US" w:eastAsia="zh-CN" w:bidi="ar-SA"/>
              </w:rPr>
            </w:pPr>
            <w:r>
              <w:rPr>
                <w:rFonts w:hint="eastAsia" w:ascii="Arial" w:hAnsi="Arial" w:eastAsia="宋体" w:cs="Arial"/>
                <w:color w:val="FF0000"/>
                <w:kern w:val="2"/>
                <w:sz w:val="18"/>
                <w:szCs w:val="22"/>
                <w:highlight w:val="yellow"/>
                <w:lang w:val="en-US" w:eastAsia="zh-CN" w:bidi="ar-SA"/>
              </w:rPr>
              <w:t>95.20%</w:t>
            </w:r>
          </w:p>
        </w:tc>
        <w:tc>
          <w:tcPr>
            <w:tcW w:w="795" w:type="dxa"/>
            <w:tcMar>
              <w:top w:w="15" w:type="dxa"/>
              <w:left w:w="81" w:type="dxa"/>
              <w:bottom w:w="0" w:type="dxa"/>
              <w:right w:w="81" w:type="dxa"/>
            </w:tcMar>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rPr>
            </w:pPr>
            <w:r>
              <w:rPr>
                <w:color w:val="auto"/>
              </w:rPr>
              <w:t>60</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38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FF0000"/>
                <w:kern w:val="2"/>
                <w:sz w:val="18"/>
                <w:szCs w:val="22"/>
                <w:highlight w:val="yellow"/>
                <w:lang w:val="en-US" w:eastAsia="zh-CN" w:bidi="ar-SA"/>
              </w:rPr>
            </w:pPr>
            <w:r>
              <w:rPr>
                <w:rFonts w:hint="eastAsia" w:ascii="Arial" w:hAnsi="Arial" w:eastAsia="宋体" w:cs="Arial"/>
                <w:color w:val="FF0000"/>
                <w:kern w:val="2"/>
                <w:sz w:val="18"/>
                <w:szCs w:val="22"/>
                <w:highlight w:val="yellow"/>
                <w:lang w:val="en-US" w:eastAsia="zh-CN" w:bidi="ar-SA"/>
              </w:rPr>
              <w:t>44</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51</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yellow"/>
                <w:lang w:val="en-US" w:eastAsia="zh-CN" w:bidi="ar-SA"/>
              </w:rPr>
            </w:pPr>
            <w:r>
              <w:rPr>
                <w:rFonts w:hint="eastAsia" w:ascii="Arial" w:hAnsi="Arial" w:eastAsia="宋体" w:cs="Arial"/>
                <w:color w:val="auto"/>
                <w:kern w:val="2"/>
                <w:sz w:val="18"/>
                <w:szCs w:val="22"/>
                <w:highlight w:val="yellow"/>
                <w:lang w:val="en-US" w:eastAsia="zh-CN" w:bidi="ar-SA"/>
              </w:rPr>
              <w:t>58</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eastAsia" w:ascii="Arial" w:hAnsi="Arial" w:eastAsia="宋体" w:cs="Arial"/>
                <w:color w:val="auto"/>
                <w:kern w:val="2"/>
                <w:sz w:val="18"/>
                <w:szCs w:val="22"/>
                <w:lang w:val="en-US" w:eastAsia="zh-CN" w:bidi="ar-S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eastAsia="宋体"/>
                <w:color w:val="auto"/>
                <w:lang w:val="en-US" w:eastAsia="zh-CN"/>
              </w:rPr>
            </w:pPr>
            <w:r>
              <w:rPr>
                <w:rFonts w:hint="eastAsia" w:eastAsia="宋体"/>
                <w:color w:val="auto"/>
                <w:lang w:val="en-US" w:eastAsia="zh-CN"/>
              </w:rPr>
              <w:t>%</w:t>
            </w:r>
          </w:p>
        </w:tc>
        <w:tc>
          <w:tcPr>
            <w:tcW w:w="795" w:type="dxa"/>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91.20%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FF0000"/>
                <w:kern w:val="2"/>
                <w:sz w:val="18"/>
                <w:szCs w:val="22"/>
                <w:highlight w:val="yellow"/>
                <w:lang w:val="en-US" w:eastAsia="zh-CN" w:bidi="ar-SA"/>
              </w:rPr>
            </w:pPr>
            <w:r>
              <w:rPr>
                <w:rFonts w:hint="eastAsia" w:ascii="Arial" w:hAnsi="Arial" w:eastAsia="宋体" w:cs="Arial"/>
                <w:color w:val="FF0000"/>
                <w:kern w:val="2"/>
                <w:sz w:val="18"/>
                <w:szCs w:val="22"/>
                <w:highlight w:val="yellow"/>
                <w:lang w:val="en-US" w:eastAsia="zh-CN" w:bidi="ar-SA"/>
              </w:rPr>
              <w:t>90.51%</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91.80%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yellow"/>
                <w:lang w:val="en-US" w:eastAsia="zh-CN" w:bidi="ar-SA"/>
              </w:rPr>
            </w:pPr>
            <w:r>
              <w:rPr>
                <w:rFonts w:hint="eastAsia" w:ascii="Arial" w:hAnsi="Arial" w:eastAsia="宋体" w:cs="Arial"/>
                <w:color w:val="auto"/>
                <w:kern w:val="2"/>
                <w:sz w:val="18"/>
                <w:szCs w:val="22"/>
                <w:highlight w:val="yellow"/>
                <w:lang w:val="en-US" w:eastAsia="zh-CN" w:bidi="ar-SA"/>
              </w:rPr>
              <w:t>92.80%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eastAsia" w:ascii="Arial" w:hAnsi="Arial" w:eastAsia="宋体" w:cs="Arial"/>
                <w:color w:val="auto"/>
                <w:kern w:val="2"/>
                <w:sz w:val="18"/>
                <w:szCs w:val="22"/>
                <w:lang w:val="en-US" w:eastAsia="zh-CN" w:bidi="ar-SA"/>
              </w:rPr>
            </w:pPr>
            <w:r>
              <w:rPr>
                <w:rFonts w:hint="default" w:ascii="Arial" w:hAnsi="Arial" w:eastAsia="宋体" w:cs="Arial"/>
                <w:color w:val="auto"/>
                <w:kern w:val="2"/>
                <w:sz w:val="18"/>
                <w:szCs w:val="22"/>
                <w:lang w:val="en-US" w:eastAsia="zh-CN" w:bidi="ar-SA"/>
              </w:rPr>
              <w:t>93.60%</w:t>
            </w:r>
          </w:p>
        </w:tc>
      </w:tr>
    </w:tbl>
    <w:p>
      <w:pPr>
        <w:pStyle w:val="25"/>
        <w:rPr>
          <w:rFonts w:hint="default" w:ascii="Times New Roman" w:hAnsi="Times New Roman" w:cs="Times New Roman"/>
          <w:sz w:val="20"/>
          <w:szCs w:val="20"/>
          <w:lang w:eastAsia="zh-CN"/>
        </w:rPr>
      </w:pPr>
    </w:p>
    <w:p>
      <w:pPr>
        <w:pStyle w:val="25"/>
        <w:rPr>
          <w:rFonts w:hint="default" w:ascii="Times New Roman" w:hAnsi="Times New Roman" w:cs="Times New Roman"/>
          <w:sz w:val="20"/>
          <w:szCs w:val="20"/>
          <w:lang w:eastAsia="zh-CN"/>
        </w:rPr>
      </w:pPr>
    </w:p>
    <w:p>
      <w:pPr>
        <w:pStyle w:val="25"/>
        <w:rPr>
          <w:rFonts w:hint="default" w:ascii="Times New Roman" w:hAnsi="Times New Roman" w:cs="Times New Roman"/>
          <w:sz w:val="20"/>
          <w:szCs w:val="20"/>
          <w:lang w:eastAsia="zh-CN"/>
        </w:rPr>
      </w:pPr>
    </w:p>
    <w:p>
      <w:pPr>
        <w:pStyle w:val="25"/>
        <w:rPr>
          <w:rFonts w:hint="default" w:ascii="Times New Roman" w:hAnsi="Times New Roman" w:cs="Times New Roman"/>
          <w:sz w:val="20"/>
          <w:szCs w:val="20"/>
          <w:lang w:eastAsia="zh-CN"/>
        </w:rPr>
      </w:pPr>
    </w:p>
    <w:p>
      <w:pPr>
        <w:pStyle w:val="25"/>
        <w:rPr>
          <w:rFonts w:hint="default" w:ascii="Times New Roman" w:hAnsi="Times New Roman" w:cs="Times New Roman"/>
          <w:sz w:val="20"/>
          <w:szCs w:val="20"/>
          <w:lang w:eastAsia="zh-CN"/>
        </w:rPr>
      </w:pPr>
    </w:p>
    <w:p>
      <w:pPr>
        <w:pStyle w:val="25"/>
        <w:rPr>
          <w:rFonts w:hint="default" w:ascii="Times New Roman" w:hAnsi="Times New Roman" w:cs="Times New Roman"/>
          <w:sz w:val="20"/>
          <w:szCs w:val="20"/>
          <w:lang w:eastAsia="zh-CN"/>
        </w:rPr>
      </w:pPr>
    </w:p>
    <w:p>
      <w:pPr>
        <w:pStyle w:val="25"/>
        <w:rPr>
          <w:rFonts w:hint="default" w:ascii="Times New Roman" w:hAnsi="Times New Roman" w:cs="Times New Roman"/>
          <w:sz w:val="20"/>
          <w:szCs w:val="20"/>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i w:val="0"/>
          <w:iCs w:val="0"/>
          <w:sz w:val="20"/>
          <w:szCs w:val="22"/>
          <w:lang w:val="en-US" w:eastAsia="zh-CN"/>
        </w:rPr>
        <w:t>According to table 2, the spectrum utilization for some N</w:t>
      </w:r>
      <w:r>
        <w:rPr>
          <w:rFonts w:hint="eastAsia" w:ascii="Times New Roman" w:hAnsi="Times New Roman" w:eastAsia="宋体" w:cs="Times New Roman"/>
          <w:i w:val="0"/>
          <w:iCs w:val="0"/>
          <w:sz w:val="20"/>
          <w:szCs w:val="22"/>
          <w:vertAlign w:val="subscript"/>
          <w:lang w:val="en-US" w:eastAsia="zh-CN"/>
        </w:rPr>
        <w:t xml:space="preserve">RB </w:t>
      </w:r>
      <w:r>
        <w:rPr>
          <w:rFonts w:hint="eastAsia" w:ascii="Times New Roman" w:hAnsi="Times New Roman" w:eastAsia="宋体" w:cs="Times New Roman"/>
          <w:i w:val="0"/>
          <w:iCs w:val="0"/>
          <w:sz w:val="20"/>
          <w:szCs w:val="22"/>
          <w:lang w:val="en-US" w:eastAsia="zh-CN"/>
        </w:rPr>
        <w:t xml:space="preserve">values such as 35MHz@60kHz SCS and 45MHz@30kHz SCS are not obey </w:t>
      </w:r>
      <w:r>
        <w:rPr>
          <w:rFonts w:hint="eastAsia" w:ascii="Times New Roman" w:hAnsi="Times New Roman" w:eastAsia="宋体" w:cs="Times New Roman"/>
          <w:sz w:val="20"/>
          <w:szCs w:val="20"/>
          <w:lang w:val="en-US" w:eastAsia="zh-CN"/>
        </w:rPr>
        <w:t>t</w:t>
      </w:r>
      <w:r>
        <w:rPr>
          <w:rFonts w:hint="default" w:ascii="Times New Roman" w:hAnsi="Times New Roman" w:eastAsia="宋体" w:cs="Times New Roman"/>
          <w:sz w:val="20"/>
          <w:szCs w:val="20"/>
          <w:lang w:eastAsia="zh-CN"/>
        </w:rPr>
        <w:t xml:space="preserve">he SUP is </w:t>
      </w:r>
      <w:r>
        <w:rPr>
          <w:rFonts w:hint="default" w:ascii="Times New Roman" w:hAnsi="Times New Roman" w:eastAsia="宋体" w:cs="Times New Roman"/>
          <w:sz w:val="20"/>
          <w:szCs w:val="20"/>
          <w:lang w:eastAsia="zh-CN"/>
        </w:rPr>
        <w:fldChar w:fldCharType="begin"/>
      </w:r>
      <w:r>
        <w:rPr>
          <w:rFonts w:hint="default" w:ascii="Times New Roman" w:hAnsi="Times New Roman" w:eastAsia="宋体" w:cs="Times New Roman"/>
          <w:sz w:val="20"/>
          <w:szCs w:val="20"/>
          <w:lang w:eastAsia="zh-CN"/>
        </w:rPr>
        <w:instrText xml:space="preserve"> HYPERLINK "https://www.baidu.com/link?url=k-JZ3ksHnQuNWNJrXOJmmc9qhMHauMOBAwgS6zCa9JUByRFTCfF0KOBKtOv8EGhmH8FOeyiP9trazhZ2FBrxtS8UPGtDvJl681te1d6rlJCNg3XVIb5CEs94IAMC2SJd&amp;wd=&amp;eqid=8da5ced30001f8170000000659a7676b" \t "_blank" </w:instrText>
      </w:r>
      <w:r>
        <w:rPr>
          <w:rFonts w:hint="default" w:ascii="Times New Roman" w:hAnsi="Times New Roman" w:eastAsia="宋体" w:cs="Times New Roman"/>
          <w:sz w:val="20"/>
          <w:szCs w:val="20"/>
          <w:lang w:eastAsia="zh-CN"/>
        </w:rPr>
        <w:fldChar w:fldCharType="separate"/>
      </w:r>
      <w:r>
        <w:rPr>
          <w:rFonts w:hint="default" w:ascii="Times New Roman" w:hAnsi="Times New Roman" w:eastAsia="宋体" w:cs="Times New Roman"/>
          <w:sz w:val="20"/>
          <w:szCs w:val="20"/>
          <w:lang w:eastAsia="zh-CN"/>
        </w:rPr>
        <w:t>monotone increasing</w:t>
      </w:r>
      <w:r>
        <w:rPr>
          <w:rFonts w:hint="default" w:ascii="Times New Roman" w:hAnsi="Times New Roman" w:eastAsia="宋体" w:cs="Times New Roman"/>
          <w:sz w:val="20"/>
          <w:szCs w:val="20"/>
          <w:lang w:eastAsia="zh-CN"/>
        </w:rPr>
        <w:fldChar w:fldCharType="end"/>
      </w:r>
      <w:r>
        <w:rPr>
          <w:rFonts w:hint="default" w:ascii="Times New Roman" w:hAnsi="Times New Roman" w:eastAsia="宋体" w:cs="Times New Roman"/>
          <w:sz w:val="20"/>
          <w:szCs w:val="20"/>
          <w:lang w:eastAsia="zh-CN"/>
        </w:rPr>
        <w:t xml:space="preserve"> as the CBW increases</w:t>
      </w:r>
      <w:r>
        <w:rPr>
          <w:rFonts w:hint="eastAsia" w:ascii="Times New Roman" w:hAnsi="Times New Roman" w:eastAsia="宋体" w:cs="Times New Roman"/>
          <w:sz w:val="20"/>
          <w:szCs w:val="20"/>
          <w:lang w:val="en-US" w:eastAsia="zh-CN"/>
        </w:rPr>
        <w:t xml:space="preserve"> rules, that</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s because the SUP for the closest CBWs are too close. If increasing 1 RB for these two cases, i.e. 45 </w:t>
      </w:r>
      <w:r>
        <w:rPr>
          <w:rFonts w:hint="eastAsia" w:ascii="Times New Roman" w:hAnsi="Times New Roman" w:eastAsia="宋体" w:cs="Times New Roman"/>
          <w:i w:val="0"/>
          <w:iCs w:val="0"/>
          <w:sz w:val="20"/>
          <w:szCs w:val="22"/>
          <w:lang w:val="en-US" w:eastAsia="zh-CN"/>
        </w:rPr>
        <w:t>N</w:t>
      </w:r>
      <w:r>
        <w:rPr>
          <w:rFonts w:hint="eastAsia" w:ascii="Times New Roman" w:hAnsi="Times New Roman" w:eastAsia="宋体" w:cs="Times New Roman"/>
          <w:i w:val="0"/>
          <w:iCs w:val="0"/>
          <w:sz w:val="20"/>
          <w:szCs w:val="22"/>
          <w:vertAlign w:val="subscript"/>
          <w:lang w:val="en-US" w:eastAsia="zh-CN"/>
        </w:rPr>
        <w:t xml:space="preserve">RB </w:t>
      </w:r>
      <w:r>
        <w:rPr>
          <w:rFonts w:hint="eastAsia" w:ascii="Times New Roman" w:hAnsi="Times New Roman" w:eastAsia="宋体" w:cs="Times New Roman"/>
          <w:sz w:val="20"/>
          <w:szCs w:val="20"/>
          <w:lang w:val="en-US" w:eastAsia="zh-CN"/>
        </w:rPr>
        <w:t xml:space="preserve">for </w:t>
      </w:r>
      <w:r>
        <w:rPr>
          <w:rFonts w:hint="eastAsia" w:ascii="Times New Roman" w:hAnsi="Times New Roman" w:eastAsia="宋体" w:cs="Times New Roman"/>
          <w:i w:val="0"/>
          <w:iCs w:val="0"/>
          <w:sz w:val="20"/>
          <w:szCs w:val="22"/>
          <w:lang w:val="en-US" w:eastAsia="zh-CN"/>
        </w:rPr>
        <w:t>35MHz@60kHz SCS and 120 N</w:t>
      </w:r>
      <w:r>
        <w:rPr>
          <w:rFonts w:hint="eastAsia" w:ascii="Times New Roman" w:hAnsi="Times New Roman" w:eastAsia="宋体" w:cs="Times New Roman"/>
          <w:i w:val="0"/>
          <w:iCs w:val="0"/>
          <w:sz w:val="20"/>
          <w:szCs w:val="22"/>
          <w:vertAlign w:val="subscript"/>
          <w:lang w:val="en-US" w:eastAsia="zh-CN"/>
        </w:rPr>
        <w:t xml:space="preserve">RB </w:t>
      </w:r>
      <w:r>
        <w:rPr>
          <w:rFonts w:hint="eastAsia" w:ascii="Times New Roman" w:hAnsi="Times New Roman" w:eastAsia="宋体" w:cs="Times New Roman"/>
          <w:sz w:val="20"/>
          <w:szCs w:val="20"/>
          <w:lang w:val="en-US" w:eastAsia="zh-CN"/>
        </w:rPr>
        <w:t xml:space="preserve">for </w:t>
      </w:r>
      <w:r>
        <w:rPr>
          <w:rFonts w:hint="eastAsia" w:ascii="Times New Roman" w:hAnsi="Times New Roman" w:eastAsia="宋体" w:cs="Times New Roman"/>
          <w:i w:val="0"/>
          <w:iCs w:val="0"/>
          <w:sz w:val="20"/>
          <w:szCs w:val="22"/>
          <w:lang w:val="en-US" w:eastAsia="zh-CN"/>
        </w:rPr>
        <w:t xml:space="preserve">45MHz@30kHz SCS, then </w:t>
      </w:r>
      <w:r>
        <w:rPr>
          <w:rFonts w:hint="eastAsia" w:ascii="Times New Roman" w:hAnsi="Times New Roman" w:eastAsia="宋体" w:cs="Times New Roman"/>
          <w:sz w:val="20"/>
          <w:szCs w:val="20"/>
          <w:lang w:val="en-US" w:eastAsia="zh-CN"/>
        </w:rPr>
        <w:t xml:space="preserve">we can get the SUP are 92.57% and 96.0%, respectively. However, these two values are larger than SUP of the </w:t>
      </w:r>
      <w:r>
        <w:rPr>
          <w:rFonts w:hint="eastAsia" w:ascii="Times New Roman" w:hAnsi="Times New Roman" w:eastAsia="宋体" w:cs="Times New Roman"/>
          <w:i w:val="0"/>
          <w:iCs w:val="0"/>
          <w:sz w:val="20"/>
          <w:szCs w:val="22"/>
          <w:lang w:val="en-US" w:eastAsia="zh-CN"/>
        </w:rPr>
        <w:t>40MHz@60kHz SCS and 50MHz@30kHz SCS.</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t>
      </w:r>
      <w:r>
        <w:rPr>
          <w:rFonts w:hint="eastAsia" w:ascii="Times New Roman" w:hAnsi="Times New Roman" w:eastAsia="宋体" w:cs="Times New Roman"/>
          <w:i w:val="0"/>
          <w:iCs w:val="0"/>
          <w:sz w:val="20"/>
          <w:szCs w:val="22"/>
          <w:lang w:val="en-US" w:eastAsia="zh-CN"/>
        </w:rPr>
        <w:t>we give some initial discussion on spectrum utilization for 35MHz and 45MHz NR channel bandwidths.</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The proposed N</w:t>
      </w:r>
      <w:r>
        <w:rPr>
          <w:rFonts w:hint="eastAsia" w:ascii="Times New Roman" w:hAnsi="Times New Roman" w:eastAsia="宋体" w:cs="Times New Roman"/>
          <w:sz w:val="20"/>
          <w:szCs w:val="22"/>
          <w:vertAlign w:val="subscript"/>
          <w:lang w:val="en-US" w:eastAsia="zh-CN"/>
        </w:rPr>
        <w:t>RB</w:t>
      </w:r>
      <w:r>
        <w:rPr>
          <w:rFonts w:hint="eastAsia" w:ascii="Times New Roman" w:hAnsi="Times New Roman" w:eastAsia="宋体" w:cs="Times New Roman"/>
          <w:sz w:val="20"/>
          <w:szCs w:val="22"/>
          <w:lang w:val="en-US" w:eastAsia="zh-CN"/>
        </w:rPr>
        <w:t xml:space="preserve"> for 35MHz and 45MHz are shown as below.</w:t>
      </w:r>
    </w:p>
    <w:tbl>
      <w:tblPr>
        <w:tblStyle w:val="93"/>
        <w:tblW w:w="22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7"/>
        <w:gridCol w:w="79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jc w:val="center"/>
        </w:trPr>
        <w:tc>
          <w:tcPr>
            <w:tcW w:w="637" w:type="dxa"/>
            <w:vMerge w:val="restart"/>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SCS (kHz)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35MHz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85" w:hRule="atLeast"/>
          <w:jc w:val="center"/>
        </w:trPr>
        <w:tc>
          <w:tcPr>
            <w:tcW w:w="637" w:type="dxa"/>
            <w:vMerge w:val="continue"/>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177"/>
              <w:rPr>
                <w:color w:val="auto"/>
                <w:highlight w:val="none"/>
              </w:rPr>
            </w:pPr>
            <w:r>
              <w:rPr>
                <w:color w:val="auto"/>
                <w:highlight w:val="none"/>
              </w:rPr>
              <w:t>15</w:t>
            </w:r>
          </w:p>
        </w:tc>
        <w:tc>
          <w:tcPr>
            <w:tcW w:w="795" w:type="dxa"/>
            <w:tcMar>
              <w:top w:w="15" w:type="dxa"/>
              <w:left w:w="81" w:type="dxa"/>
              <w:bottom w:w="0" w:type="dxa"/>
              <w:right w:w="81" w:type="dxa"/>
            </w:tcMar>
            <w:vAlign w:val="center"/>
          </w:tcPr>
          <w:p>
            <w:pPr>
              <w:pStyle w:val="177"/>
              <w:rPr>
                <w:rFonts w:hint="default" w:eastAsia="宋体"/>
                <w:color w:val="auto"/>
                <w:highlight w:val="none"/>
                <w:lang w:val="en-US" w:eastAsia="zh-CN"/>
              </w:rPr>
            </w:pPr>
            <w:r>
              <w:rPr>
                <w:rFonts w:hint="eastAsia" w:eastAsia="宋体"/>
                <w:color w:val="auto"/>
                <w:highlight w:val="none"/>
                <w:lang w:val="en-US" w:eastAsia="zh-CN"/>
              </w:rPr>
              <w:t>188</w:t>
            </w:r>
          </w:p>
        </w:tc>
        <w:tc>
          <w:tcPr>
            <w:tcW w:w="795" w:type="dxa"/>
            <w:tcMar>
              <w:top w:w="15" w:type="dxa"/>
              <w:left w:w="81" w:type="dxa"/>
              <w:bottom w:w="0" w:type="dxa"/>
              <w:right w:w="81" w:type="dxa"/>
            </w:tcMar>
            <w:vAlign w:val="center"/>
          </w:tcPr>
          <w:p>
            <w:pPr>
              <w:pStyle w:val="177"/>
              <w:rPr>
                <w:rFonts w:hint="default" w:eastAsia="宋体"/>
                <w:color w:val="auto"/>
                <w:highlight w:val="none"/>
                <w:lang w:val="en-US" w:eastAsia="zh-CN"/>
              </w:rPr>
            </w:pPr>
            <w:r>
              <w:rPr>
                <w:rFonts w:hint="eastAsia" w:eastAsia="宋体"/>
                <w:color w:val="auto"/>
                <w:highlight w:val="none"/>
                <w:lang w:val="en-US" w:eastAsia="zh-CN"/>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30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92</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57" w:hRule="atLeast"/>
          <w:jc w:val="center"/>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60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44</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58</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lang w:val="en-US" w:eastAsia="zh-CN"/>
        </w:rPr>
      </w:pP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pStyle w:val="161"/>
        <w:keepNext w:val="0"/>
        <w:keepLines w:val="0"/>
        <w:pageBreakBefore w:val="0"/>
        <w:widowControl/>
        <w:tabs>
          <w:tab w:val="right" w:pos="9639"/>
        </w:tabs>
        <w:kinsoku/>
        <w:wordWrap/>
        <w:overflowPunct/>
        <w:topLinePunct w:val="0"/>
        <w:autoSpaceDE/>
        <w:autoSpaceDN/>
        <w:bidi w:val="0"/>
        <w:adjustRightInd/>
        <w:snapToGrid/>
        <w:spacing w:before="120" w:after="120"/>
        <w:textAlignment w:val="auto"/>
        <w:outlineLvl w:val="9"/>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[1] RP-201321, New WID proposal: introduction of channel bandwidths 35MHz and 45MHz for NR, Huawei, HiSilicon, Etisalat</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[2] </w:t>
      </w:r>
      <w:r>
        <w:rPr>
          <w:rFonts w:hint="eastAsia" w:ascii="Times New Roman" w:hAnsi="Times New Roman" w:eastAsia="宋体" w:cs="Times New Roman"/>
          <w:b w:val="0"/>
          <w:bCs w:val="0"/>
          <w:sz w:val="20"/>
          <w:szCs w:val="20"/>
          <w:vertAlign w:val="baseline"/>
          <w:lang w:val="en-GB" w:eastAsia="zh-CN" w:bidi="ar-SA"/>
        </w:rPr>
        <w:t>R4-1709495, Consideration on BS CBW set, ZTE</w:t>
      </w:r>
    </w:p>
    <w:p>
      <w:pPr>
        <w:keepNext w:val="0"/>
        <w:keepLines w:val="0"/>
        <w:pageBreakBefore w:val="0"/>
        <w:widowControl/>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ascii="Times New Roman" w:hAnsi="Times New Roman" w:eastAsia="宋体" w:cs="Times New Roman"/>
          <w:b w:val="0"/>
          <w:bCs w:val="0"/>
          <w:sz w:val="20"/>
          <w:szCs w:val="20"/>
          <w:vertAlign w:val="baseline"/>
          <w:lang w:val="en-US" w:eastAsia="zh-CN" w:bidi="ar-SA"/>
        </w:rPr>
        <w:t>[3] R4-1710494, Spectrum utilization for the new channel bandwidths</w:t>
      </w:r>
      <w:r>
        <w:rPr>
          <w:rFonts w:hint="eastAsia" w:ascii="Times New Roman" w:hAnsi="Times New Roman" w:eastAsia="宋体" w:cs="Times New Roman"/>
          <w:b w:val="0"/>
          <w:bCs w:val="0"/>
          <w:sz w:val="20"/>
          <w:szCs w:val="20"/>
          <w:vertAlign w:val="baseline"/>
          <w:lang w:val="en-GB" w:eastAsia="zh-CN" w:bidi="ar-SA"/>
        </w:rPr>
        <w:t>, ZTE</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FAC0B1E"/>
    <w:multiLevelType w:val="multilevel"/>
    <w:tmpl w:val="2FAC0B1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5E05BD5"/>
    <w:multiLevelType w:val="multilevel"/>
    <w:tmpl w:val="45E05BD5"/>
    <w:lvl w:ilvl="0" w:tentative="0">
      <w:start w:val="1"/>
      <w:numFmt w:val="decimal"/>
      <w:pStyle w:val="16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51"/>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5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20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1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84"/>
      <w:lvlText w:val=""/>
      <w:lvlJc w:val="left"/>
      <w:pPr>
        <w:tabs>
          <w:tab w:val="left" w:pos="1418"/>
        </w:tabs>
        <w:ind w:left="1418" w:hanging="426"/>
      </w:pPr>
      <w:rPr>
        <w:rFonts w:hint="default" w:ascii="Wingdings" w:hAnsi="Wingdings"/>
      </w:rPr>
    </w:lvl>
  </w:abstractNum>
  <w:num w:numId="1">
    <w:abstractNumId w:val="10"/>
  </w:num>
  <w:num w:numId="2">
    <w:abstractNumId w:val="3"/>
  </w:num>
  <w:num w:numId="3">
    <w:abstractNumId w:val="2"/>
  </w:num>
  <w:num w:numId="4">
    <w:abstractNumId w:val="1"/>
  </w:num>
  <w:num w:numId="5">
    <w:abstractNumId w:val="0"/>
  </w:num>
  <w:num w:numId="6">
    <w:abstractNumId w:val="8"/>
  </w:num>
  <w:num w:numId="7">
    <w:abstractNumId w:val="9"/>
  </w:num>
  <w:num w:numId="8">
    <w:abstractNumId w:val="7"/>
  </w:num>
  <w:num w:numId="9">
    <w:abstractNumId w:val="13"/>
  </w:num>
  <w:num w:numId="10">
    <w:abstractNumId w:val="4"/>
  </w:num>
  <w:num w:numId="11">
    <w:abstractNumId w:val="11"/>
  </w:num>
  <w:num w:numId="12">
    <w:abstractNumId w:val="12"/>
  </w:num>
  <w:num w:numId="13">
    <w:abstractNumId w:val="5"/>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C7B"/>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7EB"/>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96C"/>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A085A"/>
    <w:rsid w:val="013C0524"/>
    <w:rsid w:val="013C0982"/>
    <w:rsid w:val="013C775E"/>
    <w:rsid w:val="013F0065"/>
    <w:rsid w:val="01403C15"/>
    <w:rsid w:val="01433588"/>
    <w:rsid w:val="014761D6"/>
    <w:rsid w:val="014924C3"/>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9621B7"/>
    <w:rsid w:val="01965BE3"/>
    <w:rsid w:val="019B31EC"/>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837DE"/>
    <w:rsid w:val="027C24F6"/>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9013A7"/>
    <w:rsid w:val="03967366"/>
    <w:rsid w:val="03973A17"/>
    <w:rsid w:val="03984661"/>
    <w:rsid w:val="039B56AB"/>
    <w:rsid w:val="03A836A4"/>
    <w:rsid w:val="03AA0E0B"/>
    <w:rsid w:val="03AE03ED"/>
    <w:rsid w:val="03B42918"/>
    <w:rsid w:val="03B70660"/>
    <w:rsid w:val="03B768EE"/>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A2C5B"/>
    <w:rsid w:val="03EA5C1E"/>
    <w:rsid w:val="03F00DB3"/>
    <w:rsid w:val="03F42BA3"/>
    <w:rsid w:val="03F71248"/>
    <w:rsid w:val="03FC6EFD"/>
    <w:rsid w:val="040040AF"/>
    <w:rsid w:val="040639BD"/>
    <w:rsid w:val="04093503"/>
    <w:rsid w:val="0415133F"/>
    <w:rsid w:val="041F59CC"/>
    <w:rsid w:val="042119E5"/>
    <w:rsid w:val="042D7448"/>
    <w:rsid w:val="043146F1"/>
    <w:rsid w:val="04365440"/>
    <w:rsid w:val="04366FB2"/>
    <w:rsid w:val="043B1EB0"/>
    <w:rsid w:val="043F73B7"/>
    <w:rsid w:val="044046F7"/>
    <w:rsid w:val="044527DA"/>
    <w:rsid w:val="04532E5B"/>
    <w:rsid w:val="045706F4"/>
    <w:rsid w:val="045E3E24"/>
    <w:rsid w:val="0467131C"/>
    <w:rsid w:val="04740CAB"/>
    <w:rsid w:val="047C7418"/>
    <w:rsid w:val="047F211F"/>
    <w:rsid w:val="04921B49"/>
    <w:rsid w:val="049377A7"/>
    <w:rsid w:val="04970C3A"/>
    <w:rsid w:val="04AD5427"/>
    <w:rsid w:val="04B31C9E"/>
    <w:rsid w:val="04B773EC"/>
    <w:rsid w:val="04CE5DAA"/>
    <w:rsid w:val="04D06A94"/>
    <w:rsid w:val="04E5192B"/>
    <w:rsid w:val="04E55A04"/>
    <w:rsid w:val="04E951BC"/>
    <w:rsid w:val="04F83880"/>
    <w:rsid w:val="04FB32C2"/>
    <w:rsid w:val="0507209B"/>
    <w:rsid w:val="050B6335"/>
    <w:rsid w:val="0510798F"/>
    <w:rsid w:val="05161306"/>
    <w:rsid w:val="051C3FC7"/>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CE76FB"/>
    <w:rsid w:val="05D679BE"/>
    <w:rsid w:val="05D93F31"/>
    <w:rsid w:val="05D96B45"/>
    <w:rsid w:val="05DD5E93"/>
    <w:rsid w:val="05DE43E0"/>
    <w:rsid w:val="05DF563A"/>
    <w:rsid w:val="05E11CE0"/>
    <w:rsid w:val="05E72ED3"/>
    <w:rsid w:val="05EC269B"/>
    <w:rsid w:val="05F06E9B"/>
    <w:rsid w:val="05F155CD"/>
    <w:rsid w:val="05FC6B5E"/>
    <w:rsid w:val="05FD076E"/>
    <w:rsid w:val="060C3AE5"/>
    <w:rsid w:val="061013EC"/>
    <w:rsid w:val="061029F7"/>
    <w:rsid w:val="061B2115"/>
    <w:rsid w:val="061B7605"/>
    <w:rsid w:val="06237041"/>
    <w:rsid w:val="062C2331"/>
    <w:rsid w:val="064057DF"/>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0F7DE8"/>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2374D"/>
    <w:rsid w:val="0ABB622B"/>
    <w:rsid w:val="0ABD2945"/>
    <w:rsid w:val="0ABD5EB4"/>
    <w:rsid w:val="0ABF214E"/>
    <w:rsid w:val="0AC11D6C"/>
    <w:rsid w:val="0AC4272A"/>
    <w:rsid w:val="0AC51A47"/>
    <w:rsid w:val="0AC93231"/>
    <w:rsid w:val="0AD7243D"/>
    <w:rsid w:val="0AD73ACA"/>
    <w:rsid w:val="0AD829A8"/>
    <w:rsid w:val="0AE23DA6"/>
    <w:rsid w:val="0AEA7232"/>
    <w:rsid w:val="0AF44695"/>
    <w:rsid w:val="0AFF04EF"/>
    <w:rsid w:val="0AFF28BB"/>
    <w:rsid w:val="0B070072"/>
    <w:rsid w:val="0B080C34"/>
    <w:rsid w:val="0B096705"/>
    <w:rsid w:val="0B110BE9"/>
    <w:rsid w:val="0B1C4BBB"/>
    <w:rsid w:val="0B1F01C1"/>
    <w:rsid w:val="0B2110B3"/>
    <w:rsid w:val="0B2E6294"/>
    <w:rsid w:val="0B300128"/>
    <w:rsid w:val="0B3171CB"/>
    <w:rsid w:val="0B3276E8"/>
    <w:rsid w:val="0B354623"/>
    <w:rsid w:val="0B5355EB"/>
    <w:rsid w:val="0B5439E3"/>
    <w:rsid w:val="0B581A82"/>
    <w:rsid w:val="0B62077D"/>
    <w:rsid w:val="0B633BD1"/>
    <w:rsid w:val="0B67076C"/>
    <w:rsid w:val="0B6A4660"/>
    <w:rsid w:val="0B6B2BC3"/>
    <w:rsid w:val="0B6C09A7"/>
    <w:rsid w:val="0B757218"/>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A2934"/>
    <w:rsid w:val="0C20567B"/>
    <w:rsid w:val="0C392883"/>
    <w:rsid w:val="0C405D6F"/>
    <w:rsid w:val="0C43314A"/>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5725"/>
    <w:rsid w:val="0CE27AD3"/>
    <w:rsid w:val="0CE63914"/>
    <w:rsid w:val="0CF919D6"/>
    <w:rsid w:val="0D010B97"/>
    <w:rsid w:val="0D080ED4"/>
    <w:rsid w:val="0D101A3C"/>
    <w:rsid w:val="0D180224"/>
    <w:rsid w:val="0D180656"/>
    <w:rsid w:val="0D1B657D"/>
    <w:rsid w:val="0D2F25B1"/>
    <w:rsid w:val="0D3C46B2"/>
    <w:rsid w:val="0D3C70CB"/>
    <w:rsid w:val="0D4365AA"/>
    <w:rsid w:val="0D4614AE"/>
    <w:rsid w:val="0D4A50B4"/>
    <w:rsid w:val="0D514530"/>
    <w:rsid w:val="0D521205"/>
    <w:rsid w:val="0D5960E0"/>
    <w:rsid w:val="0D5F33A1"/>
    <w:rsid w:val="0D7344C8"/>
    <w:rsid w:val="0D747D20"/>
    <w:rsid w:val="0D8B1980"/>
    <w:rsid w:val="0D8B481D"/>
    <w:rsid w:val="0D9C6CA1"/>
    <w:rsid w:val="0D9D493D"/>
    <w:rsid w:val="0DA25C8E"/>
    <w:rsid w:val="0DAF3CAF"/>
    <w:rsid w:val="0DBA2854"/>
    <w:rsid w:val="0DBB4D38"/>
    <w:rsid w:val="0DC92BE8"/>
    <w:rsid w:val="0DCB27E2"/>
    <w:rsid w:val="0DCE2610"/>
    <w:rsid w:val="0DD00B2F"/>
    <w:rsid w:val="0DE4532D"/>
    <w:rsid w:val="0DE95AE2"/>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42BD7"/>
    <w:rsid w:val="10D74E7C"/>
    <w:rsid w:val="10EA0053"/>
    <w:rsid w:val="10EC6D1D"/>
    <w:rsid w:val="10EF0C8E"/>
    <w:rsid w:val="10F145DD"/>
    <w:rsid w:val="10F211FC"/>
    <w:rsid w:val="10F4334C"/>
    <w:rsid w:val="10F4625F"/>
    <w:rsid w:val="10FB45C9"/>
    <w:rsid w:val="10FE766E"/>
    <w:rsid w:val="10FF2287"/>
    <w:rsid w:val="10FF723F"/>
    <w:rsid w:val="11024888"/>
    <w:rsid w:val="11043344"/>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0052E"/>
    <w:rsid w:val="11724DE0"/>
    <w:rsid w:val="117372A0"/>
    <w:rsid w:val="11737A61"/>
    <w:rsid w:val="117723D5"/>
    <w:rsid w:val="117B2927"/>
    <w:rsid w:val="117D5467"/>
    <w:rsid w:val="118372EE"/>
    <w:rsid w:val="11864C3B"/>
    <w:rsid w:val="118E089C"/>
    <w:rsid w:val="11943F1E"/>
    <w:rsid w:val="119F2B47"/>
    <w:rsid w:val="11A67383"/>
    <w:rsid w:val="11B05A60"/>
    <w:rsid w:val="11BC664B"/>
    <w:rsid w:val="11BF56EF"/>
    <w:rsid w:val="11C846B5"/>
    <w:rsid w:val="11C909CA"/>
    <w:rsid w:val="11C936A2"/>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2458"/>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74C25"/>
    <w:rsid w:val="14594B53"/>
    <w:rsid w:val="145E2FEE"/>
    <w:rsid w:val="1460211C"/>
    <w:rsid w:val="1463708E"/>
    <w:rsid w:val="146B6E05"/>
    <w:rsid w:val="146C1DB3"/>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F0D9F"/>
    <w:rsid w:val="15536C61"/>
    <w:rsid w:val="15537EDD"/>
    <w:rsid w:val="155E2BED"/>
    <w:rsid w:val="156030EC"/>
    <w:rsid w:val="15615604"/>
    <w:rsid w:val="15672A63"/>
    <w:rsid w:val="156B3683"/>
    <w:rsid w:val="156D05EA"/>
    <w:rsid w:val="157C0E9E"/>
    <w:rsid w:val="15822789"/>
    <w:rsid w:val="1587473D"/>
    <w:rsid w:val="158B3505"/>
    <w:rsid w:val="159668BE"/>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848A2"/>
    <w:rsid w:val="16105B54"/>
    <w:rsid w:val="1614006C"/>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B90F31"/>
    <w:rsid w:val="16C47616"/>
    <w:rsid w:val="16C740C5"/>
    <w:rsid w:val="16C81235"/>
    <w:rsid w:val="16D001FE"/>
    <w:rsid w:val="16D836B2"/>
    <w:rsid w:val="16D85958"/>
    <w:rsid w:val="16DB00D8"/>
    <w:rsid w:val="16DC57CC"/>
    <w:rsid w:val="16DF0094"/>
    <w:rsid w:val="16E03EED"/>
    <w:rsid w:val="16ED5E20"/>
    <w:rsid w:val="16F12924"/>
    <w:rsid w:val="16F93409"/>
    <w:rsid w:val="16FB40C0"/>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91274D"/>
    <w:rsid w:val="19970CE5"/>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1217C"/>
    <w:rsid w:val="1AA14158"/>
    <w:rsid w:val="1AA220AB"/>
    <w:rsid w:val="1AAC41E5"/>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A221B"/>
    <w:rsid w:val="1B0A4D9C"/>
    <w:rsid w:val="1B0E7781"/>
    <w:rsid w:val="1B130214"/>
    <w:rsid w:val="1B13125B"/>
    <w:rsid w:val="1B135DAF"/>
    <w:rsid w:val="1B142AA1"/>
    <w:rsid w:val="1B2403B5"/>
    <w:rsid w:val="1B24304B"/>
    <w:rsid w:val="1B2E4F31"/>
    <w:rsid w:val="1B300A61"/>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5784D"/>
    <w:rsid w:val="1BBE3FFF"/>
    <w:rsid w:val="1BC153A7"/>
    <w:rsid w:val="1BC57256"/>
    <w:rsid w:val="1BCF2B9F"/>
    <w:rsid w:val="1BD40808"/>
    <w:rsid w:val="1BD657AE"/>
    <w:rsid w:val="1BD977E2"/>
    <w:rsid w:val="1BDC1FDD"/>
    <w:rsid w:val="1BE00A01"/>
    <w:rsid w:val="1BED382A"/>
    <w:rsid w:val="1BED7882"/>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57B5"/>
    <w:rsid w:val="1D63616E"/>
    <w:rsid w:val="1D6A6CD4"/>
    <w:rsid w:val="1D7661C3"/>
    <w:rsid w:val="1D77376F"/>
    <w:rsid w:val="1D7A174B"/>
    <w:rsid w:val="1D82010E"/>
    <w:rsid w:val="1D865F4E"/>
    <w:rsid w:val="1D872468"/>
    <w:rsid w:val="1D890FB7"/>
    <w:rsid w:val="1D945A29"/>
    <w:rsid w:val="1D9D3E81"/>
    <w:rsid w:val="1DA22D6E"/>
    <w:rsid w:val="1DA230E1"/>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379F8"/>
    <w:rsid w:val="1E1461B7"/>
    <w:rsid w:val="1E190EEC"/>
    <w:rsid w:val="1E1E03D3"/>
    <w:rsid w:val="1E2E1619"/>
    <w:rsid w:val="1E2F16AA"/>
    <w:rsid w:val="1E314C83"/>
    <w:rsid w:val="1E3B10FE"/>
    <w:rsid w:val="1E415F1B"/>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7645D"/>
    <w:rsid w:val="1EFA0382"/>
    <w:rsid w:val="1F013EF9"/>
    <w:rsid w:val="1F0456EE"/>
    <w:rsid w:val="1F0D0F04"/>
    <w:rsid w:val="1F0E131F"/>
    <w:rsid w:val="1F0F2F71"/>
    <w:rsid w:val="1F136E8C"/>
    <w:rsid w:val="1F1C6330"/>
    <w:rsid w:val="1F291073"/>
    <w:rsid w:val="1F364BA6"/>
    <w:rsid w:val="1F384946"/>
    <w:rsid w:val="1F3C4B92"/>
    <w:rsid w:val="1F3E16A1"/>
    <w:rsid w:val="1F4734A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73670"/>
    <w:rsid w:val="201C3CA2"/>
    <w:rsid w:val="201D36E6"/>
    <w:rsid w:val="201F1A41"/>
    <w:rsid w:val="20246D32"/>
    <w:rsid w:val="20287CCA"/>
    <w:rsid w:val="202F7842"/>
    <w:rsid w:val="20360A34"/>
    <w:rsid w:val="203B0890"/>
    <w:rsid w:val="2044015A"/>
    <w:rsid w:val="204A2F6A"/>
    <w:rsid w:val="2053730E"/>
    <w:rsid w:val="20571B19"/>
    <w:rsid w:val="2058386E"/>
    <w:rsid w:val="206804E6"/>
    <w:rsid w:val="20690912"/>
    <w:rsid w:val="206A3C7F"/>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C29D9"/>
    <w:rsid w:val="20C11D2A"/>
    <w:rsid w:val="20C26B56"/>
    <w:rsid w:val="20C776A9"/>
    <w:rsid w:val="20D4200A"/>
    <w:rsid w:val="20D45236"/>
    <w:rsid w:val="20D45CC6"/>
    <w:rsid w:val="20D47CF1"/>
    <w:rsid w:val="20DF7183"/>
    <w:rsid w:val="20EB0A2A"/>
    <w:rsid w:val="20ED6469"/>
    <w:rsid w:val="20EE326C"/>
    <w:rsid w:val="20F309B6"/>
    <w:rsid w:val="20F72E28"/>
    <w:rsid w:val="210B6618"/>
    <w:rsid w:val="2116171A"/>
    <w:rsid w:val="211C31A4"/>
    <w:rsid w:val="211E0798"/>
    <w:rsid w:val="21206696"/>
    <w:rsid w:val="212129FF"/>
    <w:rsid w:val="21265A2D"/>
    <w:rsid w:val="212A2ECF"/>
    <w:rsid w:val="212B3E0B"/>
    <w:rsid w:val="21300280"/>
    <w:rsid w:val="21300568"/>
    <w:rsid w:val="21346B77"/>
    <w:rsid w:val="213A482E"/>
    <w:rsid w:val="213F5F57"/>
    <w:rsid w:val="21424B5D"/>
    <w:rsid w:val="21440D01"/>
    <w:rsid w:val="214D5C25"/>
    <w:rsid w:val="214F78F2"/>
    <w:rsid w:val="21541887"/>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74464"/>
    <w:rsid w:val="21B85AD5"/>
    <w:rsid w:val="21B90F25"/>
    <w:rsid w:val="21C56DF6"/>
    <w:rsid w:val="21D01167"/>
    <w:rsid w:val="21D410CC"/>
    <w:rsid w:val="21D869C1"/>
    <w:rsid w:val="21E00B79"/>
    <w:rsid w:val="21E11676"/>
    <w:rsid w:val="21E2422B"/>
    <w:rsid w:val="21E75E06"/>
    <w:rsid w:val="21F172A8"/>
    <w:rsid w:val="21F27A8B"/>
    <w:rsid w:val="21F94D63"/>
    <w:rsid w:val="22000888"/>
    <w:rsid w:val="22037E5F"/>
    <w:rsid w:val="220639A6"/>
    <w:rsid w:val="22114C72"/>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900FF"/>
    <w:rsid w:val="225E4056"/>
    <w:rsid w:val="226436BF"/>
    <w:rsid w:val="226758E5"/>
    <w:rsid w:val="22692416"/>
    <w:rsid w:val="22790C8F"/>
    <w:rsid w:val="227F29B7"/>
    <w:rsid w:val="229150BB"/>
    <w:rsid w:val="229A472F"/>
    <w:rsid w:val="22A76E5F"/>
    <w:rsid w:val="22AE201B"/>
    <w:rsid w:val="22AF27D5"/>
    <w:rsid w:val="22B414AA"/>
    <w:rsid w:val="22B41D89"/>
    <w:rsid w:val="22BB77FD"/>
    <w:rsid w:val="22BD44C5"/>
    <w:rsid w:val="22BF4862"/>
    <w:rsid w:val="22C1586D"/>
    <w:rsid w:val="22CA16DE"/>
    <w:rsid w:val="22CB0049"/>
    <w:rsid w:val="22CD7FC8"/>
    <w:rsid w:val="22F729DC"/>
    <w:rsid w:val="22FF232F"/>
    <w:rsid w:val="23001CE0"/>
    <w:rsid w:val="2302236B"/>
    <w:rsid w:val="2307664C"/>
    <w:rsid w:val="23096319"/>
    <w:rsid w:val="23101B7A"/>
    <w:rsid w:val="231052D0"/>
    <w:rsid w:val="231512A6"/>
    <w:rsid w:val="231B2974"/>
    <w:rsid w:val="23214CC6"/>
    <w:rsid w:val="23281860"/>
    <w:rsid w:val="232D5522"/>
    <w:rsid w:val="2331281A"/>
    <w:rsid w:val="23375FAD"/>
    <w:rsid w:val="233E689B"/>
    <w:rsid w:val="23487B6A"/>
    <w:rsid w:val="234C475D"/>
    <w:rsid w:val="234F2103"/>
    <w:rsid w:val="235362C3"/>
    <w:rsid w:val="235B1FE3"/>
    <w:rsid w:val="236075E9"/>
    <w:rsid w:val="2363367B"/>
    <w:rsid w:val="23651499"/>
    <w:rsid w:val="2368717E"/>
    <w:rsid w:val="237411B0"/>
    <w:rsid w:val="237437BD"/>
    <w:rsid w:val="237A037E"/>
    <w:rsid w:val="238010D5"/>
    <w:rsid w:val="23872FC7"/>
    <w:rsid w:val="23915B05"/>
    <w:rsid w:val="23A734EB"/>
    <w:rsid w:val="23AA6310"/>
    <w:rsid w:val="23B42C06"/>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F2F86"/>
    <w:rsid w:val="24203BAA"/>
    <w:rsid w:val="242546AB"/>
    <w:rsid w:val="242E2EF3"/>
    <w:rsid w:val="24376E92"/>
    <w:rsid w:val="24382415"/>
    <w:rsid w:val="243E1494"/>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16A91"/>
    <w:rsid w:val="24EB7C74"/>
    <w:rsid w:val="24EC4C92"/>
    <w:rsid w:val="24EE4DDC"/>
    <w:rsid w:val="24FD418E"/>
    <w:rsid w:val="250052D0"/>
    <w:rsid w:val="250C627A"/>
    <w:rsid w:val="250D152E"/>
    <w:rsid w:val="25151733"/>
    <w:rsid w:val="251554D8"/>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969B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21490A"/>
    <w:rsid w:val="272658FE"/>
    <w:rsid w:val="272B0B6C"/>
    <w:rsid w:val="272F5B33"/>
    <w:rsid w:val="27304E3B"/>
    <w:rsid w:val="273278B9"/>
    <w:rsid w:val="27352C28"/>
    <w:rsid w:val="274137B8"/>
    <w:rsid w:val="27436F3A"/>
    <w:rsid w:val="27443C03"/>
    <w:rsid w:val="27453A80"/>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B4017A"/>
    <w:rsid w:val="28B51E6D"/>
    <w:rsid w:val="28BD05DE"/>
    <w:rsid w:val="28C15B72"/>
    <w:rsid w:val="28C52BB3"/>
    <w:rsid w:val="28CD52EA"/>
    <w:rsid w:val="28CF2CA7"/>
    <w:rsid w:val="28D70028"/>
    <w:rsid w:val="28DB17E6"/>
    <w:rsid w:val="28DD3BE4"/>
    <w:rsid w:val="28DE6245"/>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172BE"/>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42FF0"/>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12E4D"/>
    <w:rsid w:val="2B8E4C11"/>
    <w:rsid w:val="2B9967D6"/>
    <w:rsid w:val="2BA01AB2"/>
    <w:rsid w:val="2BA1091C"/>
    <w:rsid w:val="2BA326B6"/>
    <w:rsid w:val="2BA4061C"/>
    <w:rsid w:val="2BA56565"/>
    <w:rsid w:val="2BAF422F"/>
    <w:rsid w:val="2BB858A3"/>
    <w:rsid w:val="2BC47F83"/>
    <w:rsid w:val="2BCD2333"/>
    <w:rsid w:val="2BCF6C34"/>
    <w:rsid w:val="2BD07A7B"/>
    <w:rsid w:val="2BD157A2"/>
    <w:rsid w:val="2BD56B76"/>
    <w:rsid w:val="2BD56CE3"/>
    <w:rsid w:val="2BE03D81"/>
    <w:rsid w:val="2BE314B3"/>
    <w:rsid w:val="2BEC1B8B"/>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26379"/>
    <w:rsid w:val="2C531990"/>
    <w:rsid w:val="2C54490E"/>
    <w:rsid w:val="2C55071B"/>
    <w:rsid w:val="2C604D15"/>
    <w:rsid w:val="2C695C64"/>
    <w:rsid w:val="2C6A7E7C"/>
    <w:rsid w:val="2C6B429D"/>
    <w:rsid w:val="2C6C3228"/>
    <w:rsid w:val="2C6E4317"/>
    <w:rsid w:val="2C6F32E3"/>
    <w:rsid w:val="2C6F62D3"/>
    <w:rsid w:val="2C73174E"/>
    <w:rsid w:val="2C7334B8"/>
    <w:rsid w:val="2C744FCD"/>
    <w:rsid w:val="2C7656AE"/>
    <w:rsid w:val="2C7A41E9"/>
    <w:rsid w:val="2C7E405A"/>
    <w:rsid w:val="2C8973E5"/>
    <w:rsid w:val="2C8A6F0B"/>
    <w:rsid w:val="2C932127"/>
    <w:rsid w:val="2C9C58AB"/>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5549D"/>
    <w:rsid w:val="2D560F90"/>
    <w:rsid w:val="2D633629"/>
    <w:rsid w:val="2D636A07"/>
    <w:rsid w:val="2D66368A"/>
    <w:rsid w:val="2D675178"/>
    <w:rsid w:val="2D680205"/>
    <w:rsid w:val="2D685CB3"/>
    <w:rsid w:val="2D6E76CE"/>
    <w:rsid w:val="2D6F7EEF"/>
    <w:rsid w:val="2D785D16"/>
    <w:rsid w:val="2D8A3565"/>
    <w:rsid w:val="2D92541C"/>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0A3C33"/>
    <w:rsid w:val="2E1931E7"/>
    <w:rsid w:val="2E281711"/>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997981"/>
    <w:rsid w:val="2EA12F6D"/>
    <w:rsid w:val="2EA91956"/>
    <w:rsid w:val="2EB177AD"/>
    <w:rsid w:val="2EBA7E66"/>
    <w:rsid w:val="2EC90753"/>
    <w:rsid w:val="2EC9758F"/>
    <w:rsid w:val="2ED30992"/>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8614F"/>
    <w:rsid w:val="2F487FE6"/>
    <w:rsid w:val="2F5173DD"/>
    <w:rsid w:val="2F530D2A"/>
    <w:rsid w:val="2F5B7BF2"/>
    <w:rsid w:val="2F5F4845"/>
    <w:rsid w:val="2F603581"/>
    <w:rsid w:val="2F661A96"/>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642B3"/>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F2653"/>
    <w:rsid w:val="311108E9"/>
    <w:rsid w:val="31130B1C"/>
    <w:rsid w:val="31143422"/>
    <w:rsid w:val="3114758B"/>
    <w:rsid w:val="31177D87"/>
    <w:rsid w:val="312008C2"/>
    <w:rsid w:val="31241CD6"/>
    <w:rsid w:val="312A3D0F"/>
    <w:rsid w:val="31311AA0"/>
    <w:rsid w:val="31315115"/>
    <w:rsid w:val="313344AE"/>
    <w:rsid w:val="314A732D"/>
    <w:rsid w:val="31502C2E"/>
    <w:rsid w:val="31625BD9"/>
    <w:rsid w:val="3165203B"/>
    <w:rsid w:val="317675CF"/>
    <w:rsid w:val="31802145"/>
    <w:rsid w:val="31846B58"/>
    <w:rsid w:val="318648B5"/>
    <w:rsid w:val="31864A48"/>
    <w:rsid w:val="318B5416"/>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6DFC"/>
    <w:rsid w:val="3357390E"/>
    <w:rsid w:val="33584F7A"/>
    <w:rsid w:val="335E0128"/>
    <w:rsid w:val="335F4450"/>
    <w:rsid w:val="335F67C2"/>
    <w:rsid w:val="33663464"/>
    <w:rsid w:val="33682E0E"/>
    <w:rsid w:val="336832BC"/>
    <w:rsid w:val="336C0524"/>
    <w:rsid w:val="336C352B"/>
    <w:rsid w:val="336D18AB"/>
    <w:rsid w:val="336E7AF9"/>
    <w:rsid w:val="337378BD"/>
    <w:rsid w:val="337410F4"/>
    <w:rsid w:val="3378211E"/>
    <w:rsid w:val="337D1A35"/>
    <w:rsid w:val="33804C38"/>
    <w:rsid w:val="33886CEE"/>
    <w:rsid w:val="33915561"/>
    <w:rsid w:val="33952B15"/>
    <w:rsid w:val="33953748"/>
    <w:rsid w:val="339D641B"/>
    <w:rsid w:val="339F747C"/>
    <w:rsid w:val="33A41288"/>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544AE"/>
    <w:rsid w:val="3416587E"/>
    <w:rsid w:val="341A0662"/>
    <w:rsid w:val="342848DD"/>
    <w:rsid w:val="342B013D"/>
    <w:rsid w:val="342C7CD4"/>
    <w:rsid w:val="34365D0F"/>
    <w:rsid w:val="343E3F00"/>
    <w:rsid w:val="34421727"/>
    <w:rsid w:val="34455BD8"/>
    <w:rsid w:val="344E45AD"/>
    <w:rsid w:val="345718EB"/>
    <w:rsid w:val="34584277"/>
    <w:rsid w:val="345A74D7"/>
    <w:rsid w:val="346605B2"/>
    <w:rsid w:val="346E280F"/>
    <w:rsid w:val="346E701E"/>
    <w:rsid w:val="3473163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A9019E"/>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62003"/>
    <w:rsid w:val="36075703"/>
    <w:rsid w:val="361D4745"/>
    <w:rsid w:val="361E4A68"/>
    <w:rsid w:val="361E4BCF"/>
    <w:rsid w:val="361F359F"/>
    <w:rsid w:val="362029EC"/>
    <w:rsid w:val="364074D3"/>
    <w:rsid w:val="36433B1B"/>
    <w:rsid w:val="36474B7A"/>
    <w:rsid w:val="364D533A"/>
    <w:rsid w:val="364E74AA"/>
    <w:rsid w:val="364F2ABA"/>
    <w:rsid w:val="364F7FB6"/>
    <w:rsid w:val="365426B9"/>
    <w:rsid w:val="36547E5A"/>
    <w:rsid w:val="36552A5E"/>
    <w:rsid w:val="365B748F"/>
    <w:rsid w:val="365D18E5"/>
    <w:rsid w:val="36631581"/>
    <w:rsid w:val="36715F50"/>
    <w:rsid w:val="367949C1"/>
    <w:rsid w:val="367C0A30"/>
    <w:rsid w:val="367C1CB9"/>
    <w:rsid w:val="367D1308"/>
    <w:rsid w:val="367E6C51"/>
    <w:rsid w:val="368010F6"/>
    <w:rsid w:val="3689641E"/>
    <w:rsid w:val="368E7CA9"/>
    <w:rsid w:val="369464A6"/>
    <w:rsid w:val="36985ABF"/>
    <w:rsid w:val="36991D1F"/>
    <w:rsid w:val="369B322E"/>
    <w:rsid w:val="369C4A16"/>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42C90"/>
    <w:rsid w:val="37186085"/>
    <w:rsid w:val="37207A5E"/>
    <w:rsid w:val="37277F10"/>
    <w:rsid w:val="372D4141"/>
    <w:rsid w:val="372D5E85"/>
    <w:rsid w:val="37316255"/>
    <w:rsid w:val="373A7A98"/>
    <w:rsid w:val="373B0631"/>
    <w:rsid w:val="373E57E6"/>
    <w:rsid w:val="37497D6C"/>
    <w:rsid w:val="3750226C"/>
    <w:rsid w:val="37502818"/>
    <w:rsid w:val="37513D01"/>
    <w:rsid w:val="37535CB6"/>
    <w:rsid w:val="375C30D2"/>
    <w:rsid w:val="376C5889"/>
    <w:rsid w:val="376D30B7"/>
    <w:rsid w:val="376F3C3D"/>
    <w:rsid w:val="37777509"/>
    <w:rsid w:val="37782D0E"/>
    <w:rsid w:val="377A2230"/>
    <w:rsid w:val="377D5303"/>
    <w:rsid w:val="378B0327"/>
    <w:rsid w:val="378E0749"/>
    <w:rsid w:val="37961346"/>
    <w:rsid w:val="379824C0"/>
    <w:rsid w:val="379B4AF2"/>
    <w:rsid w:val="37A5676A"/>
    <w:rsid w:val="37A6689F"/>
    <w:rsid w:val="37A9641A"/>
    <w:rsid w:val="37AC7283"/>
    <w:rsid w:val="37AD2485"/>
    <w:rsid w:val="37B4362A"/>
    <w:rsid w:val="37B8335E"/>
    <w:rsid w:val="37B85875"/>
    <w:rsid w:val="37C144CC"/>
    <w:rsid w:val="37C73B14"/>
    <w:rsid w:val="37C768E5"/>
    <w:rsid w:val="37C830DF"/>
    <w:rsid w:val="37D05D39"/>
    <w:rsid w:val="37D10CB9"/>
    <w:rsid w:val="37EF2108"/>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A3E53"/>
    <w:rsid w:val="38AB3864"/>
    <w:rsid w:val="38AE6A06"/>
    <w:rsid w:val="38B26579"/>
    <w:rsid w:val="38B73B4E"/>
    <w:rsid w:val="38C167A3"/>
    <w:rsid w:val="38CC71AC"/>
    <w:rsid w:val="38CD20AE"/>
    <w:rsid w:val="38D111F2"/>
    <w:rsid w:val="38D866AB"/>
    <w:rsid w:val="38E44E18"/>
    <w:rsid w:val="38E70119"/>
    <w:rsid w:val="38EF3677"/>
    <w:rsid w:val="38F078C9"/>
    <w:rsid w:val="38F41668"/>
    <w:rsid w:val="38FB6D1F"/>
    <w:rsid w:val="38FD5337"/>
    <w:rsid w:val="39023DA3"/>
    <w:rsid w:val="390B0C61"/>
    <w:rsid w:val="390C52E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D258D"/>
    <w:rsid w:val="3991666A"/>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9FC6757"/>
    <w:rsid w:val="3A003BFB"/>
    <w:rsid w:val="3A0112A2"/>
    <w:rsid w:val="3A0409BB"/>
    <w:rsid w:val="3A051F41"/>
    <w:rsid w:val="3A054A83"/>
    <w:rsid w:val="3A107A70"/>
    <w:rsid w:val="3A1C5DFA"/>
    <w:rsid w:val="3A1E5C85"/>
    <w:rsid w:val="3A227A56"/>
    <w:rsid w:val="3A344169"/>
    <w:rsid w:val="3A3530C5"/>
    <w:rsid w:val="3A3F063C"/>
    <w:rsid w:val="3A427FBB"/>
    <w:rsid w:val="3A497F4C"/>
    <w:rsid w:val="3A5F0343"/>
    <w:rsid w:val="3A60190A"/>
    <w:rsid w:val="3A630CF7"/>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A484B"/>
    <w:rsid w:val="3ADD4A23"/>
    <w:rsid w:val="3ADF6377"/>
    <w:rsid w:val="3AE1451D"/>
    <w:rsid w:val="3AE52C73"/>
    <w:rsid w:val="3AE66C68"/>
    <w:rsid w:val="3AED7403"/>
    <w:rsid w:val="3AEF57AB"/>
    <w:rsid w:val="3AF72D01"/>
    <w:rsid w:val="3AF851C8"/>
    <w:rsid w:val="3AFA65B6"/>
    <w:rsid w:val="3AFB2E75"/>
    <w:rsid w:val="3B0537E4"/>
    <w:rsid w:val="3B05660E"/>
    <w:rsid w:val="3B067205"/>
    <w:rsid w:val="3B0A014B"/>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4063BD"/>
    <w:rsid w:val="3C4C3D85"/>
    <w:rsid w:val="3C4D6B5C"/>
    <w:rsid w:val="3C4F0273"/>
    <w:rsid w:val="3C5532AC"/>
    <w:rsid w:val="3C5775B8"/>
    <w:rsid w:val="3C64429D"/>
    <w:rsid w:val="3C651B5F"/>
    <w:rsid w:val="3C6B6A77"/>
    <w:rsid w:val="3C6D5054"/>
    <w:rsid w:val="3C705F26"/>
    <w:rsid w:val="3C914E1A"/>
    <w:rsid w:val="3C961419"/>
    <w:rsid w:val="3CA12CEA"/>
    <w:rsid w:val="3CA1514C"/>
    <w:rsid w:val="3CA40A32"/>
    <w:rsid w:val="3CAE61AF"/>
    <w:rsid w:val="3CC13333"/>
    <w:rsid w:val="3CCB357A"/>
    <w:rsid w:val="3CD259B2"/>
    <w:rsid w:val="3CD6046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7FD1"/>
    <w:rsid w:val="3E5B55F7"/>
    <w:rsid w:val="3E5D3F45"/>
    <w:rsid w:val="3E5E07CE"/>
    <w:rsid w:val="3E634872"/>
    <w:rsid w:val="3E6D3C2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A080F"/>
    <w:rsid w:val="407B3D06"/>
    <w:rsid w:val="40844021"/>
    <w:rsid w:val="408604AB"/>
    <w:rsid w:val="408F6C4D"/>
    <w:rsid w:val="40924A6B"/>
    <w:rsid w:val="4097144A"/>
    <w:rsid w:val="40AB4BB4"/>
    <w:rsid w:val="40B24A84"/>
    <w:rsid w:val="40BB567D"/>
    <w:rsid w:val="40BF2A94"/>
    <w:rsid w:val="40C103B9"/>
    <w:rsid w:val="40C633D4"/>
    <w:rsid w:val="40C7688B"/>
    <w:rsid w:val="40CD1B60"/>
    <w:rsid w:val="40E155B7"/>
    <w:rsid w:val="40E55E1D"/>
    <w:rsid w:val="40E745F9"/>
    <w:rsid w:val="40EA073F"/>
    <w:rsid w:val="40EB1A84"/>
    <w:rsid w:val="40F2798F"/>
    <w:rsid w:val="40FD313A"/>
    <w:rsid w:val="40FE53E8"/>
    <w:rsid w:val="41002236"/>
    <w:rsid w:val="41004331"/>
    <w:rsid w:val="410814CC"/>
    <w:rsid w:val="41090D7C"/>
    <w:rsid w:val="410F2F53"/>
    <w:rsid w:val="411772FD"/>
    <w:rsid w:val="411B1C5A"/>
    <w:rsid w:val="411B75C9"/>
    <w:rsid w:val="411C226A"/>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C46E77"/>
    <w:rsid w:val="41D8108E"/>
    <w:rsid w:val="41D87523"/>
    <w:rsid w:val="41D91076"/>
    <w:rsid w:val="41E00D95"/>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5131E"/>
    <w:rsid w:val="427671A6"/>
    <w:rsid w:val="427862CE"/>
    <w:rsid w:val="427A15D7"/>
    <w:rsid w:val="427A1877"/>
    <w:rsid w:val="428E6083"/>
    <w:rsid w:val="42927CE2"/>
    <w:rsid w:val="42930521"/>
    <w:rsid w:val="4293642B"/>
    <w:rsid w:val="429424E9"/>
    <w:rsid w:val="429432BC"/>
    <w:rsid w:val="429954E1"/>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70E0A"/>
    <w:rsid w:val="431B3898"/>
    <w:rsid w:val="4322345A"/>
    <w:rsid w:val="43231966"/>
    <w:rsid w:val="43232B12"/>
    <w:rsid w:val="43273F04"/>
    <w:rsid w:val="432A7A55"/>
    <w:rsid w:val="43332BD3"/>
    <w:rsid w:val="43367CDF"/>
    <w:rsid w:val="433E6455"/>
    <w:rsid w:val="434425F8"/>
    <w:rsid w:val="4345760E"/>
    <w:rsid w:val="434677FF"/>
    <w:rsid w:val="43496B59"/>
    <w:rsid w:val="43596015"/>
    <w:rsid w:val="4360500C"/>
    <w:rsid w:val="436073DA"/>
    <w:rsid w:val="43695BEA"/>
    <w:rsid w:val="436971F6"/>
    <w:rsid w:val="436D13EF"/>
    <w:rsid w:val="436E482F"/>
    <w:rsid w:val="437C7469"/>
    <w:rsid w:val="437D16BC"/>
    <w:rsid w:val="437F682E"/>
    <w:rsid w:val="43852ED2"/>
    <w:rsid w:val="43870627"/>
    <w:rsid w:val="438D7B84"/>
    <w:rsid w:val="438F0B98"/>
    <w:rsid w:val="439033AD"/>
    <w:rsid w:val="439926C0"/>
    <w:rsid w:val="439D2829"/>
    <w:rsid w:val="43AC653D"/>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54793"/>
    <w:rsid w:val="44B90546"/>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21803"/>
    <w:rsid w:val="4503596C"/>
    <w:rsid w:val="450543DD"/>
    <w:rsid w:val="45063626"/>
    <w:rsid w:val="45080159"/>
    <w:rsid w:val="450B5A65"/>
    <w:rsid w:val="450B69FC"/>
    <w:rsid w:val="4511635D"/>
    <w:rsid w:val="45124457"/>
    <w:rsid w:val="451674B2"/>
    <w:rsid w:val="45194282"/>
    <w:rsid w:val="45207276"/>
    <w:rsid w:val="452D4B53"/>
    <w:rsid w:val="453153BC"/>
    <w:rsid w:val="453254AE"/>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47094"/>
    <w:rsid w:val="46A8293C"/>
    <w:rsid w:val="46AB0B09"/>
    <w:rsid w:val="46AD3657"/>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221B2"/>
    <w:rsid w:val="47210371"/>
    <w:rsid w:val="47215D37"/>
    <w:rsid w:val="472A2D7B"/>
    <w:rsid w:val="472B01AC"/>
    <w:rsid w:val="472B350D"/>
    <w:rsid w:val="472B61FA"/>
    <w:rsid w:val="47317921"/>
    <w:rsid w:val="4736247E"/>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B52006"/>
    <w:rsid w:val="47B633CA"/>
    <w:rsid w:val="47BC373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7804"/>
    <w:rsid w:val="499721AD"/>
    <w:rsid w:val="499762DC"/>
    <w:rsid w:val="49980409"/>
    <w:rsid w:val="499C0F2B"/>
    <w:rsid w:val="49A47274"/>
    <w:rsid w:val="49AD512B"/>
    <w:rsid w:val="49B23D17"/>
    <w:rsid w:val="49B37D36"/>
    <w:rsid w:val="49B702DC"/>
    <w:rsid w:val="49BC2B2A"/>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92F58"/>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75AC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5148D"/>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806E2B"/>
    <w:rsid w:val="4D814417"/>
    <w:rsid w:val="4D817CA8"/>
    <w:rsid w:val="4D86521D"/>
    <w:rsid w:val="4D8733CA"/>
    <w:rsid w:val="4D891189"/>
    <w:rsid w:val="4D913378"/>
    <w:rsid w:val="4D9532EE"/>
    <w:rsid w:val="4D961A7E"/>
    <w:rsid w:val="4D9D6C26"/>
    <w:rsid w:val="4DA213F9"/>
    <w:rsid w:val="4DAE182B"/>
    <w:rsid w:val="4DC005BF"/>
    <w:rsid w:val="4DC24F3B"/>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23C89"/>
    <w:rsid w:val="4FB758B2"/>
    <w:rsid w:val="4FCB5260"/>
    <w:rsid w:val="4FCB650F"/>
    <w:rsid w:val="4FE00E81"/>
    <w:rsid w:val="4FE45BD1"/>
    <w:rsid w:val="4FE56060"/>
    <w:rsid w:val="4FEA0FEF"/>
    <w:rsid w:val="4FEE3280"/>
    <w:rsid w:val="4FFE02AC"/>
    <w:rsid w:val="500647A0"/>
    <w:rsid w:val="500779F7"/>
    <w:rsid w:val="500F2C52"/>
    <w:rsid w:val="50130207"/>
    <w:rsid w:val="50167B60"/>
    <w:rsid w:val="50186DCC"/>
    <w:rsid w:val="50325A21"/>
    <w:rsid w:val="50337DE4"/>
    <w:rsid w:val="503A4A06"/>
    <w:rsid w:val="504827D0"/>
    <w:rsid w:val="50551A7C"/>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F47CF"/>
    <w:rsid w:val="51FF7286"/>
    <w:rsid w:val="5207265A"/>
    <w:rsid w:val="521153DD"/>
    <w:rsid w:val="521A6B40"/>
    <w:rsid w:val="521C7DEC"/>
    <w:rsid w:val="52261BDE"/>
    <w:rsid w:val="52345124"/>
    <w:rsid w:val="523E191D"/>
    <w:rsid w:val="52427E0F"/>
    <w:rsid w:val="524679A7"/>
    <w:rsid w:val="524A2229"/>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AF1BAE"/>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54D50"/>
    <w:rsid w:val="56F91557"/>
    <w:rsid w:val="57080827"/>
    <w:rsid w:val="5711084C"/>
    <w:rsid w:val="57112AC8"/>
    <w:rsid w:val="57125F43"/>
    <w:rsid w:val="571473A3"/>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90012"/>
    <w:rsid w:val="57795FE6"/>
    <w:rsid w:val="57807D67"/>
    <w:rsid w:val="57862B6B"/>
    <w:rsid w:val="579337A7"/>
    <w:rsid w:val="579552C5"/>
    <w:rsid w:val="57994242"/>
    <w:rsid w:val="579A3826"/>
    <w:rsid w:val="57A134A1"/>
    <w:rsid w:val="57A246E6"/>
    <w:rsid w:val="57A90A91"/>
    <w:rsid w:val="57A913FE"/>
    <w:rsid w:val="57AD1A5F"/>
    <w:rsid w:val="57AF7199"/>
    <w:rsid w:val="57B27F4E"/>
    <w:rsid w:val="57B61ADB"/>
    <w:rsid w:val="57BB11B9"/>
    <w:rsid w:val="57C0151D"/>
    <w:rsid w:val="57C14748"/>
    <w:rsid w:val="57CB091F"/>
    <w:rsid w:val="57D6465B"/>
    <w:rsid w:val="57DC28D9"/>
    <w:rsid w:val="57E43A4F"/>
    <w:rsid w:val="57F008BC"/>
    <w:rsid w:val="57F155CB"/>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24CA7"/>
    <w:rsid w:val="58596C7D"/>
    <w:rsid w:val="585C0258"/>
    <w:rsid w:val="585C368E"/>
    <w:rsid w:val="585D4900"/>
    <w:rsid w:val="58646E97"/>
    <w:rsid w:val="586646D0"/>
    <w:rsid w:val="5867516A"/>
    <w:rsid w:val="58711673"/>
    <w:rsid w:val="58802421"/>
    <w:rsid w:val="588F71C9"/>
    <w:rsid w:val="58914185"/>
    <w:rsid w:val="58920F1B"/>
    <w:rsid w:val="58AB69E5"/>
    <w:rsid w:val="58B167FD"/>
    <w:rsid w:val="58B513F7"/>
    <w:rsid w:val="58C0497A"/>
    <w:rsid w:val="58C564A5"/>
    <w:rsid w:val="58CD7B88"/>
    <w:rsid w:val="58CD7B89"/>
    <w:rsid w:val="58D10DDD"/>
    <w:rsid w:val="58D52C82"/>
    <w:rsid w:val="58D540F7"/>
    <w:rsid w:val="58D5513C"/>
    <w:rsid w:val="58F52733"/>
    <w:rsid w:val="58F63D7F"/>
    <w:rsid w:val="58FA6A5C"/>
    <w:rsid w:val="58FC5C5F"/>
    <w:rsid w:val="58FF5CF1"/>
    <w:rsid w:val="590042B2"/>
    <w:rsid w:val="590074EB"/>
    <w:rsid w:val="59042A81"/>
    <w:rsid w:val="59081D0C"/>
    <w:rsid w:val="591338B2"/>
    <w:rsid w:val="59134BBE"/>
    <w:rsid w:val="59174E38"/>
    <w:rsid w:val="59186839"/>
    <w:rsid w:val="59192DC4"/>
    <w:rsid w:val="591C72CA"/>
    <w:rsid w:val="591D17D6"/>
    <w:rsid w:val="591D7503"/>
    <w:rsid w:val="591F7A16"/>
    <w:rsid w:val="59250377"/>
    <w:rsid w:val="592C54EF"/>
    <w:rsid w:val="592F04A8"/>
    <w:rsid w:val="59325CA1"/>
    <w:rsid w:val="593474D5"/>
    <w:rsid w:val="59374B7F"/>
    <w:rsid w:val="593D7FA1"/>
    <w:rsid w:val="593E2373"/>
    <w:rsid w:val="59407631"/>
    <w:rsid w:val="59464C73"/>
    <w:rsid w:val="59561373"/>
    <w:rsid w:val="59561D93"/>
    <w:rsid w:val="595F11CB"/>
    <w:rsid w:val="5965617A"/>
    <w:rsid w:val="596654C9"/>
    <w:rsid w:val="596B6E95"/>
    <w:rsid w:val="5977122A"/>
    <w:rsid w:val="597A7604"/>
    <w:rsid w:val="59822C29"/>
    <w:rsid w:val="59827068"/>
    <w:rsid w:val="59873E19"/>
    <w:rsid w:val="598A4267"/>
    <w:rsid w:val="599852BD"/>
    <w:rsid w:val="599C5353"/>
    <w:rsid w:val="59A379DA"/>
    <w:rsid w:val="59AA1BC7"/>
    <w:rsid w:val="59C86714"/>
    <w:rsid w:val="59CF05F4"/>
    <w:rsid w:val="59D40772"/>
    <w:rsid w:val="59DA51E0"/>
    <w:rsid w:val="59DD71E5"/>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57B48"/>
    <w:rsid w:val="5A367139"/>
    <w:rsid w:val="5A377721"/>
    <w:rsid w:val="5A393DFA"/>
    <w:rsid w:val="5A396F82"/>
    <w:rsid w:val="5A3A60A2"/>
    <w:rsid w:val="5A3B0495"/>
    <w:rsid w:val="5A3B2271"/>
    <w:rsid w:val="5A3D7BF7"/>
    <w:rsid w:val="5A3F78D6"/>
    <w:rsid w:val="5A483FE9"/>
    <w:rsid w:val="5A4A55F7"/>
    <w:rsid w:val="5A536B35"/>
    <w:rsid w:val="5A5407D2"/>
    <w:rsid w:val="5A554E02"/>
    <w:rsid w:val="5A565DC8"/>
    <w:rsid w:val="5A60367A"/>
    <w:rsid w:val="5A6338A8"/>
    <w:rsid w:val="5A633F59"/>
    <w:rsid w:val="5A810F21"/>
    <w:rsid w:val="5A8201E3"/>
    <w:rsid w:val="5A947EF0"/>
    <w:rsid w:val="5A9545E6"/>
    <w:rsid w:val="5A96253C"/>
    <w:rsid w:val="5A9A1811"/>
    <w:rsid w:val="5AA45DD1"/>
    <w:rsid w:val="5AA86E5A"/>
    <w:rsid w:val="5AAA67C9"/>
    <w:rsid w:val="5AAE12B9"/>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3B1A3B"/>
    <w:rsid w:val="5B3F5E85"/>
    <w:rsid w:val="5B461140"/>
    <w:rsid w:val="5B544C09"/>
    <w:rsid w:val="5B546635"/>
    <w:rsid w:val="5B5D6360"/>
    <w:rsid w:val="5B650C24"/>
    <w:rsid w:val="5B651678"/>
    <w:rsid w:val="5B6C1370"/>
    <w:rsid w:val="5B700C48"/>
    <w:rsid w:val="5B762836"/>
    <w:rsid w:val="5B861DFE"/>
    <w:rsid w:val="5B8B4481"/>
    <w:rsid w:val="5B8F3139"/>
    <w:rsid w:val="5B8F6725"/>
    <w:rsid w:val="5B961544"/>
    <w:rsid w:val="5B9C0BB9"/>
    <w:rsid w:val="5B9D2958"/>
    <w:rsid w:val="5BAA1566"/>
    <w:rsid w:val="5BAC5FEF"/>
    <w:rsid w:val="5BAC660D"/>
    <w:rsid w:val="5BC80573"/>
    <w:rsid w:val="5BC973B5"/>
    <w:rsid w:val="5BCC4604"/>
    <w:rsid w:val="5BDE3DC3"/>
    <w:rsid w:val="5BE2378B"/>
    <w:rsid w:val="5BEB318B"/>
    <w:rsid w:val="5BEB5A0B"/>
    <w:rsid w:val="5BEC2285"/>
    <w:rsid w:val="5BFA1A95"/>
    <w:rsid w:val="5BFB4AA1"/>
    <w:rsid w:val="5BFD39FA"/>
    <w:rsid w:val="5C0347DA"/>
    <w:rsid w:val="5C071023"/>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E6A7F"/>
    <w:rsid w:val="5CC03AD8"/>
    <w:rsid w:val="5CC13B5F"/>
    <w:rsid w:val="5CC350B6"/>
    <w:rsid w:val="5CC40640"/>
    <w:rsid w:val="5CCD5AF3"/>
    <w:rsid w:val="5CD87406"/>
    <w:rsid w:val="5CDB61B3"/>
    <w:rsid w:val="5CE12FA2"/>
    <w:rsid w:val="5CE86744"/>
    <w:rsid w:val="5CE86862"/>
    <w:rsid w:val="5CED27F5"/>
    <w:rsid w:val="5CEF4E30"/>
    <w:rsid w:val="5CF14339"/>
    <w:rsid w:val="5CF31D6C"/>
    <w:rsid w:val="5CFA76DA"/>
    <w:rsid w:val="5CFB7B1E"/>
    <w:rsid w:val="5D03163C"/>
    <w:rsid w:val="5D0463C2"/>
    <w:rsid w:val="5D065149"/>
    <w:rsid w:val="5D0852A9"/>
    <w:rsid w:val="5D0A6B07"/>
    <w:rsid w:val="5D0C0E20"/>
    <w:rsid w:val="5D0D0434"/>
    <w:rsid w:val="5D115318"/>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7013D1"/>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7979"/>
    <w:rsid w:val="5DF966B0"/>
    <w:rsid w:val="5DFF0CC5"/>
    <w:rsid w:val="5E017F3D"/>
    <w:rsid w:val="5E0E0C2C"/>
    <w:rsid w:val="5E124791"/>
    <w:rsid w:val="5E167528"/>
    <w:rsid w:val="5E1C61EC"/>
    <w:rsid w:val="5E2324C4"/>
    <w:rsid w:val="5E2720CA"/>
    <w:rsid w:val="5E2C695E"/>
    <w:rsid w:val="5E3676CF"/>
    <w:rsid w:val="5E3B0EF2"/>
    <w:rsid w:val="5E3B2AAC"/>
    <w:rsid w:val="5E400680"/>
    <w:rsid w:val="5E475B90"/>
    <w:rsid w:val="5E490299"/>
    <w:rsid w:val="5E4B6995"/>
    <w:rsid w:val="5E4F7336"/>
    <w:rsid w:val="5E531698"/>
    <w:rsid w:val="5E5C65F2"/>
    <w:rsid w:val="5E67568D"/>
    <w:rsid w:val="5E696614"/>
    <w:rsid w:val="5E697941"/>
    <w:rsid w:val="5E7877CB"/>
    <w:rsid w:val="5E794C04"/>
    <w:rsid w:val="5E795C99"/>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6B6E13"/>
    <w:rsid w:val="5F7211DD"/>
    <w:rsid w:val="5F73758B"/>
    <w:rsid w:val="5F796C02"/>
    <w:rsid w:val="5F7A3813"/>
    <w:rsid w:val="5F7B787C"/>
    <w:rsid w:val="5F7D2DFF"/>
    <w:rsid w:val="5F8E07ED"/>
    <w:rsid w:val="5F9D5EA1"/>
    <w:rsid w:val="5F9D7BCF"/>
    <w:rsid w:val="5FA03264"/>
    <w:rsid w:val="5FAF6A8E"/>
    <w:rsid w:val="5FB66F77"/>
    <w:rsid w:val="5FBD0EC7"/>
    <w:rsid w:val="5FC23A38"/>
    <w:rsid w:val="5FC458D2"/>
    <w:rsid w:val="5FCE6F1E"/>
    <w:rsid w:val="5FD91C36"/>
    <w:rsid w:val="5FE80E96"/>
    <w:rsid w:val="5FE96661"/>
    <w:rsid w:val="5FF44B73"/>
    <w:rsid w:val="5FF70698"/>
    <w:rsid w:val="5FFC2AE4"/>
    <w:rsid w:val="5FFE0864"/>
    <w:rsid w:val="60052229"/>
    <w:rsid w:val="60070FA0"/>
    <w:rsid w:val="6007379D"/>
    <w:rsid w:val="600B1124"/>
    <w:rsid w:val="601079C8"/>
    <w:rsid w:val="601441AB"/>
    <w:rsid w:val="6016135E"/>
    <w:rsid w:val="60255BF0"/>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B17E63"/>
    <w:rsid w:val="60B40EFB"/>
    <w:rsid w:val="60BA3688"/>
    <w:rsid w:val="60BE3A10"/>
    <w:rsid w:val="60BE7F1C"/>
    <w:rsid w:val="60C00D53"/>
    <w:rsid w:val="60C26CD7"/>
    <w:rsid w:val="60C66A6E"/>
    <w:rsid w:val="60D44DA5"/>
    <w:rsid w:val="60DC2AE2"/>
    <w:rsid w:val="60DE494B"/>
    <w:rsid w:val="60E0373A"/>
    <w:rsid w:val="60E264E0"/>
    <w:rsid w:val="60E33A55"/>
    <w:rsid w:val="60F87843"/>
    <w:rsid w:val="61043A4B"/>
    <w:rsid w:val="610F24C5"/>
    <w:rsid w:val="610F3198"/>
    <w:rsid w:val="611013A5"/>
    <w:rsid w:val="61106AAF"/>
    <w:rsid w:val="6111106A"/>
    <w:rsid w:val="611C718C"/>
    <w:rsid w:val="612D5100"/>
    <w:rsid w:val="612D5E57"/>
    <w:rsid w:val="613017D1"/>
    <w:rsid w:val="61323CEA"/>
    <w:rsid w:val="61337847"/>
    <w:rsid w:val="61380A16"/>
    <w:rsid w:val="61382821"/>
    <w:rsid w:val="61387064"/>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31642"/>
    <w:rsid w:val="61BD0FD1"/>
    <w:rsid w:val="61C63667"/>
    <w:rsid w:val="61D033C7"/>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F3399"/>
    <w:rsid w:val="62710CC6"/>
    <w:rsid w:val="62786ED2"/>
    <w:rsid w:val="628710AB"/>
    <w:rsid w:val="6289557C"/>
    <w:rsid w:val="628A2538"/>
    <w:rsid w:val="628F69CD"/>
    <w:rsid w:val="6291471A"/>
    <w:rsid w:val="62931C22"/>
    <w:rsid w:val="629567A3"/>
    <w:rsid w:val="629A48D0"/>
    <w:rsid w:val="629E3BFE"/>
    <w:rsid w:val="62A024FE"/>
    <w:rsid w:val="62A054D4"/>
    <w:rsid w:val="62A83905"/>
    <w:rsid w:val="62A854F1"/>
    <w:rsid w:val="62B11F36"/>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74FE4"/>
    <w:rsid w:val="63386BB9"/>
    <w:rsid w:val="633B1E29"/>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E6CB6"/>
    <w:rsid w:val="64535672"/>
    <w:rsid w:val="64574EB1"/>
    <w:rsid w:val="646B3F3E"/>
    <w:rsid w:val="646D1CD3"/>
    <w:rsid w:val="6476698F"/>
    <w:rsid w:val="647D6981"/>
    <w:rsid w:val="647E5324"/>
    <w:rsid w:val="64827BE0"/>
    <w:rsid w:val="64866A99"/>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656FB"/>
    <w:rsid w:val="64F92204"/>
    <w:rsid w:val="65004915"/>
    <w:rsid w:val="650771CA"/>
    <w:rsid w:val="650F000D"/>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B50F8"/>
    <w:rsid w:val="66EC751B"/>
    <w:rsid w:val="66F826EE"/>
    <w:rsid w:val="66FD35F4"/>
    <w:rsid w:val="66FD6B9E"/>
    <w:rsid w:val="67016A4B"/>
    <w:rsid w:val="670E396A"/>
    <w:rsid w:val="671B08CF"/>
    <w:rsid w:val="67243A92"/>
    <w:rsid w:val="67333E25"/>
    <w:rsid w:val="6737473D"/>
    <w:rsid w:val="6741114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A1BEF"/>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7D3F8B"/>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3364C"/>
    <w:rsid w:val="69D64A5B"/>
    <w:rsid w:val="69DD7F9F"/>
    <w:rsid w:val="69E31EF0"/>
    <w:rsid w:val="69ED5274"/>
    <w:rsid w:val="69EF797B"/>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647694"/>
    <w:rsid w:val="6B666A66"/>
    <w:rsid w:val="6B6C74E1"/>
    <w:rsid w:val="6B7357C3"/>
    <w:rsid w:val="6B832B21"/>
    <w:rsid w:val="6B867E5C"/>
    <w:rsid w:val="6B88607A"/>
    <w:rsid w:val="6B9150FF"/>
    <w:rsid w:val="6B946BF3"/>
    <w:rsid w:val="6BA2350F"/>
    <w:rsid w:val="6BD4209E"/>
    <w:rsid w:val="6BD82F70"/>
    <w:rsid w:val="6BDB61D4"/>
    <w:rsid w:val="6BE223DA"/>
    <w:rsid w:val="6BE85FD3"/>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928BB"/>
    <w:rsid w:val="6C5309CC"/>
    <w:rsid w:val="6C530ED0"/>
    <w:rsid w:val="6C545178"/>
    <w:rsid w:val="6C5860DF"/>
    <w:rsid w:val="6C622536"/>
    <w:rsid w:val="6C644D2B"/>
    <w:rsid w:val="6C64649D"/>
    <w:rsid w:val="6C666A63"/>
    <w:rsid w:val="6C6850CD"/>
    <w:rsid w:val="6C694713"/>
    <w:rsid w:val="6C6B45D6"/>
    <w:rsid w:val="6C700C30"/>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476C8"/>
    <w:rsid w:val="6D172255"/>
    <w:rsid w:val="6D1C0D1C"/>
    <w:rsid w:val="6D23170F"/>
    <w:rsid w:val="6D253611"/>
    <w:rsid w:val="6D3326A9"/>
    <w:rsid w:val="6D3A5839"/>
    <w:rsid w:val="6D3B5319"/>
    <w:rsid w:val="6D3D2693"/>
    <w:rsid w:val="6D40296E"/>
    <w:rsid w:val="6D470A7E"/>
    <w:rsid w:val="6D4C4DF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53394"/>
    <w:rsid w:val="6DE70C3E"/>
    <w:rsid w:val="6DE7336C"/>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7D314B"/>
    <w:rsid w:val="6E865687"/>
    <w:rsid w:val="6E965300"/>
    <w:rsid w:val="6EA46912"/>
    <w:rsid w:val="6EA51B9F"/>
    <w:rsid w:val="6EA63752"/>
    <w:rsid w:val="6EA64819"/>
    <w:rsid w:val="6EA84C2B"/>
    <w:rsid w:val="6EAA489F"/>
    <w:rsid w:val="6EAB3BE1"/>
    <w:rsid w:val="6EAB5A16"/>
    <w:rsid w:val="6EB40256"/>
    <w:rsid w:val="6EC153B6"/>
    <w:rsid w:val="6EC47C33"/>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E25E4"/>
    <w:rsid w:val="70373FBC"/>
    <w:rsid w:val="70390CF0"/>
    <w:rsid w:val="703A151D"/>
    <w:rsid w:val="703B64CB"/>
    <w:rsid w:val="703C38DB"/>
    <w:rsid w:val="703C6EA9"/>
    <w:rsid w:val="703D4B4E"/>
    <w:rsid w:val="70423C90"/>
    <w:rsid w:val="70490D6C"/>
    <w:rsid w:val="70691205"/>
    <w:rsid w:val="706B38CF"/>
    <w:rsid w:val="706B49E5"/>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24583"/>
    <w:rsid w:val="715455B3"/>
    <w:rsid w:val="71553813"/>
    <w:rsid w:val="715B17FA"/>
    <w:rsid w:val="715D4E0B"/>
    <w:rsid w:val="715E557A"/>
    <w:rsid w:val="71690217"/>
    <w:rsid w:val="716A46B9"/>
    <w:rsid w:val="717F36DE"/>
    <w:rsid w:val="718778F2"/>
    <w:rsid w:val="71892B0B"/>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A42EA"/>
    <w:rsid w:val="723177B6"/>
    <w:rsid w:val="7234447E"/>
    <w:rsid w:val="723F77B4"/>
    <w:rsid w:val="724B515A"/>
    <w:rsid w:val="72535D9A"/>
    <w:rsid w:val="72615664"/>
    <w:rsid w:val="7267764A"/>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B2A5F"/>
    <w:rsid w:val="769F4EEE"/>
    <w:rsid w:val="76A34276"/>
    <w:rsid w:val="76A51408"/>
    <w:rsid w:val="76A71C96"/>
    <w:rsid w:val="76A84408"/>
    <w:rsid w:val="76AB2010"/>
    <w:rsid w:val="76C531DC"/>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71DC"/>
    <w:rsid w:val="77184032"/>
    <w:rsid w:val="7723195D"/>
    <w:rsid w:val="7734235A"/>
    <w:rsid w:val="773D2B51"/>
    <w:rsid w:val="773F59CC"/>
    <w:rsid w:val="774F5379"/>
    <w:rsid w:val="77537360"/>
    <w:rsid w:val="77583047"/>
    <w:rsid w:val="775A67F8"/>
    <w:rsid w:val="776558E7"/>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9E7521"/>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C7CFE"/>
    <w:rsid w:val="798A6B95"/>
    <w:rsid w:val="798E16DB"/>
    <w:rsid w:val="798F00A9"/>
    <w:rsid w:val="79976D83"/>
    <w:rsid w:val="799B7317"/>
    <w:rsid w:val="79A24D61"/>
    <w:rsid w:val="79A675AF"/>
    <w:rsid w:val="79A91563"/>
    <w:rsid w:val="79AB1394"/>
    <w:rsid w:val="79B033DC"/>
    <w:rsid w:val="79B3005A"/>
    <w:rsid w:val="79B827E4"/>
    <w:rsid w:val="79B8596D"/>
    <w:rsid w:val="79BF6579"/>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A08CB"/>
    <w:rsid w:val="7ADE7D20"/>
    <w:rsid w:val="7AE16BF9"/>
    <w:rsid w:val="7AE6530E"/>
    <w:rsid w:val="7AEF0262"/>
    <w:rsid w:val="7AF70369"/>
    <w:rsid w:val="7B0A1118"/>
    <w:rsid w:val="7B1C2184"/>
    <w:rsid w:val="7B5263BB"/>
    <w:rsid w:val="7B576462"/>
    <w:rsid w:val="7B5B2668"/>
    <w:rsid w:val="7B5D24AF"/>
    <w:rsid w:val="7B63272B"/>
    <w:rsid w:val="7B6374D1"/>
    <w:rsid w:val="7B647C53"/>
    <w:rsid w:val="7B65452C"/>
    <w:rsid w:val="7B677548"/>
    <w:rsid w:val="7B6A752F"/>
    <w:rsid w:val="7B6E4B57"/>
    <w:rsid w:val="7B6F2944"/>
    <w:rsid w:val="7B733935"/>
    <w:rsid w:val="7B7C162F"/>
    <w:rsid w:val="7B7D1905"/>
    <w:rsid w:val="7B8175B9"/>
    <w:rsid w:val="7B833A1A"/>
    <w:rsid w:val="7B8D734B"/>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155BA"/>
    <w:rsid w:val="7CA1560E"/>
    <w:rsid w:val="7CA528C3"/>
    <w:rsid w:val="7CAF7B47"/>
    <w:rsid w:val="7CB074CA"/>
    <w:rsid w:val="7CB26902"/>
    <w:rsid w:val="7CB479EF"/>
    <w:rsid w:val="7CBB448F"/>
    <w:rsid w:val="7CC457FD"/>
    <w:rsid w:val="7CC47E43"/>
    <w:rsid w:val="7CC73521"/>
    <w:rsid w:val="7CCC1769"/>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74210"/>
    <w:rsid w:val="7D290568"/>
    <w:rsid w:val="7D304986"/>
    <w:rsid w:val="7D30793A"/>
    <w:rsid w:val="7D3153D8"/>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C551C"/>
    <w:rsid w:val="7D9D0F7F"/>
    <w:rsid w:val="7D9F21A1"/>
    <w:rsid w:val="7D9F7D79"/>
    <w:rsid w:val="7DA374F4"/>
    <w:rsid w:val="7DA64427"/>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B6658"/>
    <w:rsid w:val="7E0E1198"/>
    <w:rsid w:val="7E13004E"/>
    <w:rsid w:val="7E165384"/>
    <w:rsid w:val="7E1B6E9F"/>
    <w:rsid w:val="7E1C7387"/>
    <w:rsid w:val="7E1D54AF"/>
    <w:rsid w:val="7E2D53BF"/>
    <w:rsid w:val="7E2F4A5F"/>
    <w:rsid w:val="7E327A15"/>
    <w:rsid w:val="7E3D2B8F"/>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1535FF"/>
    <w:rsid w:val="7F193139"/>
    <w:rsid w:val="7F2E4452"/>
    <w:rsid w:val="7F3277A1"/>
    <w:rsid w:val="7F3B3101"/>
    <w:rsid w:val="7F3B4E97"/>
    <w:rsid w:val="7F3D45CB"/>
    <w:rsid w:val="7F3D5899"/>
    <w:rsid w:val="7F425F57"/>
    <w:rsid w:val="7F5410D4"/>
    <w:rsid w:val="7F590744"/>
    <w:rsid w:val="7F591C40"/>
    <w:rsid w:val="7F5E14A3"/>
    <w:rsid w:val="7F6767D5"/>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unhideWhenUsed="0" w:uiPriority="99" w:semiHidden="0" w:name="Normal (Web)"/>
    <w:lsdException w:qFormat="1" w:unhideWhenUsed="0" w:uiPriority="0" w:name="HTML Acronym"/>
    <w:lsdException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unhideWhenUsed="0" w:uiPriority="0" w:name="Table Grid 2"/>
    <w:lsdException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3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0"/>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8"/>
    <w:qFormat/>
    <w:uiPriority w:val="0"/>
    <w:pPr>
      <w:numPr>
        <w:ilvl w:val="2"/>
        <w:numId w:val="2"/>
      </w:numPr>
      <w:spacing w:before="120"/>
      <w:outlineLvl w:val="2"/>
    </w:pPr>
  </w:style>
  <w:style w:type="paragraph" w:styleId="5">
    <w:name w:val="heading 4"/>
    <w:basedOn w:val="4"/>
    <w:next w:val="1"/>
    <w:link w:val="23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243"/>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Body Text First Indent"/>
    <w:basedOn w:val="25"/>
    <w:semiHidden/>
    <w:uiPriority w:val="0"/>
    <w:pPr>
      <w:ind w:firstLine="420" w:firstLineChars="100"/>
      <w:jc w:val="left"/>
    </w:pPr>
    <w:rPr>
      <w:szCs w:val="20"/>
      <w:lang w:val="en-GB"/>
    </w:rPr>
  </w:style>
  <w:style w:type="paragraph" w:styleId="25">
    <w:name w:val="Body Text"/>
    <w:basedOn w:val="1"/>
    <w:link w:val="231"/>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45"/>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36"/>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uiPriority w:val="99"/>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NO"/>
    <w:basedOn w:val="1"/>
    <w:link w:val="222"/>
    <w:uiPriority w:val="0"/>
    <w:pPr>
      <w:keepLines/>
      <w:ind w:left="1135" w:hanging="851"/>
    </w:pPr>
    <w:rPr>
      <w:rFonts w:ascii="Arial" w:hAnsi="Arial" w:eastAsia="宋体" w:cs="Arial"/>
      <w:color w:val="0000FF"/>
      <w:kern w:val="2"/>
      <w:sz w:val="20"/>
    </w:rPr>
  </w:style>
  <w:style w:type="paragraph" w:customStyle="1" w:styleId="139">
    <w:name w:val="NF"/>
    <w:basedOn w:val="138"/>
    <w:semiHidden/>
    <w:qFormat/>
    <w:uiPriority w:val="0"/>
    <w:pPr>
      <w:keepNext/>
      <w:spacing w:after="0"/>
    </w:pPr>
    <w:rPr>
      <w:rFonts w:ascii="Arial" w:hAnsi="Arial"/>
      <w:sz w:val="18"/>
    </w:rPr>
  </w:style>
  <w:style w:type="paragraph" w:customStyle="1" w:styleId="140">
    <w:name w:val="TAN"/>
    <w:basedOn w:val="141"/>
    <w:link w:val="255"/>
    <w:uiPriority w:val="0"/>
    <w:pPr>
      <w:ind w:left="851" w:hanging="851"/>
    </w:pPr>
  </w:style>
  <w:style w:type="paragraph" w:customStyle="1" w:styleId="141">
    <w:name w:val="TAL"/>
    <w:basedOn w:val="1"/>
    <w:link w:val="242"/>
    <w:qFormat/>
    <w:uiPriority w:val="0"/>
    <w:pPr>
      <w:keepNext/>
      <w:keepLines/>
      <w:spacing w:after="0"/>
    </w:pPr>
    <w:rPr>
      <w:rFonts w:ascii="Arial" w:hAnsi="Arial" w:eastAsia="宋体" w:cs="Arial"/>
      <w:color w:val="0000FF"/>
      <w:kern w:val="2"/>
      <w:sz w:val="18"/>
    </w:rPr>
  </w:style>
  <w:style w:type="paragraph" w:customStyle="1" w:styleId="14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43">
    <w:name w:val="00 BodyText"/>
    <w:basedOn w:val="1"/>
    <w:semiHidden/>
    <w:qFormat/>
    <w:uiPriority w:val="0"/>
    <w:pPr>
      <w:spacing w:after="220"/>
    </w:pPr>
    <w:rPr>
      <w:rFonts w:ascii="Arial" w:hAnsi="Arial"/>
      <w:sz w:val="22"/>
      <w:lang w:val="en-US"/>
    </w:rPr>
  </w:style>
  <w:style w:type="paragraph" w:customStyle="1" w:styleId="144">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45">
    <w:name w:val="样式 段后: 12 磅"/>
    <w:basedOn w:val="1"/>
    <w:semiHidden/>
    <w:qFormat/>
    <w:uiPriority w:val="0"/>
    <w:pPr>
      <w:spacing w:after="240"/>
    </w:pPr>
    <w:rPr>
      <w:rFonts w:cs="宋体"/>
    </w:rPr>
  </w:style>
  <w:style w:type="paragraph" w:customStyle="1" w:styleId="146">
    <w:name w:val="tdoc-header"/>
    <w:semiHidden/>
    <w:qFormat/>
    <w:uiPriority w:val="0"/>
    <w:rPr>
      <w:rFonts w:ascii="Arial" w:hAnsi="Arial" w:eastAsia="MS Mincho" w:cs="Times New Roman"/>
      <w:sz w:val="24"/>
      <w:lang w:val="en-GB" w:eastAsia="en-US" w:bidi="ar-SA"/>
    </w:rPr>
  </w:style>
  <w:style w:type="paragraph" w:customStyle="1" w:styleId="147">
    <w:name w:val="ZTD"/>
    <w:basedOn w:val="148"/>
    <w:semiHidden/>
    <w:qFormat/>
    <w:uiPriority w:val="0"/>
    <w:pPr>
      <w:framePr w:hRule="auto" w:y="852"/>
    </w:pPr>
    <w:rPr>
      <w:i w:val="0"/>
      <w:sz w:val="40"/>
    </w:rPr>
  </w:style>
  <w:style w:type="paragraph" w:customStyle="1" w:styleId="148">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49">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0">
    <w:name w:val="EQ"/>
    <w:basedOn w:val="1"/>
    <w:next w:val="1"/>
    <w:semiHidden/>
    <w:qFormat/>
    <w:uiPriority w:val="0"/>
    <w:pPr>
      <w:keepLines/>
      <w:tabs>
        <w:tab w:val="center" w:pos="4536"/>
        <w:tab w:val="right" w:pos="9072"/>
      </w:tabs>
    </w:pPr>
  </w:style>
  <w:style w:type="paragraph" w:customStyle="1" w:styleId="151">
    <w:name w:val="Heading 1b"/>
    <w:basedOn w:val="2"/>
    <w:qFormat/>
    <w:uiPriority w:val="0"/>
    <w:pPr>
      <w:numPr>
        <w:ilvl w:val="0"/>
        <w:numId w:val="6"/>
      </w:numPr>
    </w:pPr>
  </w:style>
  <w:style w:type="paragraph" w:customStyle="1" w:styleId="152">
    <w:name w:val="B2"/>
    <w:basedOn w:val="13"/>
    <w:link w:val="235"/>
    <w:semiHidden/>
    <w:qFormat/>
    <w:uiPriority w:val="0"/>
    <w:rPr>
      <w:rFonts w:ascii="Arial" w:hAnsi="Arial" w:eastAsia="宋体" w:cs="Arial"/>
      <w:color w:val="0000FF"/>
      <w:kern w:val="2"/>
      <w:sz w:val="20"/>
    </w:rPr>
  </w:style>
  <w:style w:type="paragraph" w:customStyle="1" w:styleId="153">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4">
    <w:name w:val="TAL Char Char"/>
    <w:basedOn w:val="1"/>
    <w:link w:val="251"/>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Figure"/>
    <w:basedOn w:val="1"/>
    <w:qFormat/>
    <w:uiPriority w:val="0"/>
    <w:pPr>
      <w:numPr>
        <w:ilvl w:val="0"/>
        <w:numId w:val="7"/>
      </w:numPr>
      <w:spacing w:before="180" w:after="240" w:line="280" w:lineRule="atLeast"/>
      <w:jc w:val="center"/>
    </w:pPr>
    <w:rPr>
      <w:rFonts w:ascii="Arial" w:hAnsi="Arial" w:eastAsia="宋体"/>
      <w:b/>
      <w:sz w:val="20"/>
      <w:lang w:val="en-US" w:eastAsia="ja-JP"/>
    </w:rPr>
  </w:style>
  <w:style w:type="paragraph" w:customStyle="1" w:styleId="158">
    <w:name w:val="B1"/>
    <w:basedOn w:val="14"/>
    <w:link w:val="220"/>
    <w:qFormat/>
    <w:uiPriority w:val="0"/>
    <w:rPr>
      <w:rFonts w:ascii="Arial" w:hAnsi="Arial" w:eastAsia="宋体" w:cs="Arial"/>
      <w:color w:val="0000FF"/>
      <w:kern w:val="2"/>
      <w:sz w:val="20"/>
    </w:rPr>
  </w:style>
  <w:style w:type="paragraph" w:customStyle="1" w:styleId="159">
    <w:name w:val="TF"/>
    <w:basedOn w:val="160"/>
    <w:semiHidden/>
    <w:qFormat/>
    <w:uiPriority w:val="0"/>
    <w:pPr>
      <w:keepNext w:val="0"/>
      <w:keepLines/>
      <w:spacing w:before="0" w:after="240"/>
    </w:pPr>
  </w:style>
  <w:style w:type="paragraph" w:customStyle="1" w:styleId="160">
    <w:name w:val="TH"/>
    <w:basedOn w:val="1"/>
    <w:link w:val="254"/>
    <w:qFormat/>
    <w:uiPriority w:val="0"/>
    <w:pPr>
      <w:keepNext/>
      <w:keepLines/>
      <w:spacing w:before="60"/>
      <w:jc w:val="center"/>
    </w:pPr>
    <w:rPr>
      <w:rFonts w:ascii="Arial" w:hAnsi="Arial" w:cs="Arial"/>
      <w:b/>
      <w:color w:val="0000FF"/>
      <w:kern w:val="2"/>
    </w:rPr>
  </w:style>
  <w:style w:type="paragraph" w:customStyle="1" w:styleId="161">
    <w:name w:val="CR Cover Page"/>
    <w:qFormat/>
    <w:uiPriority w:val="0"/>
    <w:pPr>
      <w:spacing w:after="120"/>
    </w:pPr>
    <w:rPr>
      <w:rFonts w:ascii="Arial" w:hAnsi="Arial" w:eastAsia="MS Mincho" w:cs="Times New Roman"/>
      <w:lang w:val="en-GB" w:eastAsia="en-US" w:bidi="ar-SA"/>
    </w:rPr>
  </w:style>
  <w:style w:type="paragraph" w:customStyle="1" w:styleId="16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64">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6">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Numbered List"/>
    <w:basedOn w:val="1"/>
    <w:qFormat/>
    <w:uiPriority w:val="0"/>
    <w:pPr>
      <w:numPr>
        <w:ilvl w:val="0"/>
        <w:numId w:val="8"/>
      </w:numPr>
      <w:spacing w:after="0"/>
      <w:jc w:val="both"/>
    </w:pPr>
    <w:rPr>
      <w:sz w:val="20"/>
    </w:rPr>
  </w:style>
  <w:style w:type="paragraph" w:customStyle="1" w:styleId="16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0">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7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73">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74">
    <w:name w:val="FP"/>
    <w:basedOn w:val="1"/>
    <w:semiHidden/>
    <w:qFormat/>
    <w:uiPriority w:val="0"/>
    <w:pPr>
      <w:spacing w:after="0"/>
    </w:pPr>
  </w:style>
  <w:style w:type="paragraph" w:customStyle="1" w:styleId="175">
    <w:name w:val="TT"/>
    <w:basedOn w:val="2"/>
    <w:next w:val="1"/>
    <w:semiHidden/>
    <w:qFormat/>
    <w:uiPriority w:val="0"/>
    <w:pPr>
      <w:outlineLvl w:val="9"/>
    </w:p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TAC"/>
    <w:basedOn w:val="141"/>
    <w:link w:val="249"/>
    <w:qFormat/>
    <w:uiPriority w:val="0"/>
    <w:pPr>
      <w:jc w:val="center"/>
    </w:pPr>
    <w:rPr>
      <w:rFonts w:eastAsia="MS Mincho"/>
    </w:rPr>
  </w:style>
  <w:style w:type="paragraph" w:customStyle="1" w:styleId="178">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9">
    <w:name w:val="Proposal"/>
    <w:basedOn w:val="1"/>
    <w:qFormat/>
    <w:uiPriority w:val="0"/>
    <w:rPr>
      <w:b/>
    </w:rPr>
  </w:style>
  <w:style w:type="paragraph" w:customStyle="1" w:styleId="180">
    <w:name w:val="TAR"/>
    <w:basedOn w:val="141"/>
    <w:qFormat/>
    <w:uiPriority w:val="0"/>
    <w:pPr>
      <w:jc w:val="right"/>
    </w:pPr>
  </w:style>
  <w:style w:type="paragraph" w:customStyle="1" w:styleId="181">
    <w:name w:val="Guidance"/>
    <w:basedOn w:val="1"/>
    <w:link w:val="252"/>
    <w:qFormat/>
    <w:uiPriority w:val="0"/>
    <w:rPr>
      <w:rFonts w:eastAsia="Times New Roman"/>
      <w:i/>
      <w:color w:val="0000FF"/>
      <w:sz w:val="20"/>
    </w:rPr>
  </w:style>
  <w:style w:type="paragraph" w:customStyle="1" w:styleId="182">
    <w:name w:val="B5"/>
    <w:basedOn w:val="63"/>
    <w:semiHidden/>
    <w:qFormat/>
    <w:uiPriority w:val="0"/>
  </w:style>
  <w:style w:type="paragraph" w:customStyle="1" w:styleId="183">
    <w:name w:val="B3"/>
    <w:basedOn w:val="12"/>
    <w:link w:val="248"/>
    <w:semiHidden/>
    <w:qFormat/>
    <w:uiPriority w:val="0"/>
    <w:rPr>
      <w:rFonts w:ascii="Arial" w:hAnsi="Arial" w:eastAsia="宋体" w:cs="Arial"/>
      <w:color w:val="0000FF"/>
      <w:kern w:val="2"/>
      <w:sz w:val="20"/>
    </w:rPr>
  </w:style>
  <w:style w:type="paragraph" w:customStyle="1" w:styleId="184">
    <w:name w:val="text intend 2"/>
    <w:basedOn w:val="1"/>
    <w:qFormat/>
    <w:uiPriority w:val="0"/>
    <w:pPr>
      <w:numPr>
        <w:ilvl w:val="0"/>
        <w:numId w:val="9"/>
      </w:numPr>
      <w:overflowPunct w:val="0"/>
      <w:autoSpaceDE w:val="0"/>
      <w:autoSpaceDN w:val="0"/>
      <w:adjustRightInd w:val="0"/>
      <w:spacing w:after="120"/>
      <w:jc w:val="both"/>
      <w:textAlignment w:val="baseline"/>
    </w:pPr>
    <w:rPr>
      <w:sz w:val="24"/>
      <w:lang w:val="en-US" w:eastAsia="ja-JP"/>
    </w:rPr>
  </w:style>
  <w:style w:type="paragraph" w:customStyle="1" w:styleId="1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8">
    <w:name w:val="PL"/>
    <w:link w:val="240"/>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90">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1">
    <w:name w:val="MTDisplayEquation"/>
    <w:basedOn w:val="1"/>
    <w:semiHidden/>
    <w:qFormat/>
    <w:uiPriority w:val="0"/>
    <w:pPr>
      <w:tabs>
        <w:tab w:val="center" w:pos="4820"/>
        <w:tab w:val="right" w:pos="9640"/>
      </w:tabs>
    </w:pPr>
    <w:rPr>
      <w:lang w:val="en-US"/>
    </w:rPr>
  </w:style>
  <w:style w:type="paragraph" w:customStyle="1" w:styleId="192">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4">
    <w:name w:val=" Char Char Char Char Char Char Char Char Char Char Char Char Char Char"/>
    <w:basedOn w:val="1"/>
    <w:semiHidden/>
    <w:qFormat/>
    <w:uiPriority w:val="0"/>
    <w:pPr>
      <w:spacing w:after="240" w:afterLines="100"/>
    </w:pPr>
  </w:style>
  <w:style w:type="paragraph" w:customStyle="1" w:styleId="195">
    <w:name w:val="B1+"/>
    <w:basedOn w:val="158"/>
    <w:qFormat/>
    <w:uiPriority w:val="0"/>
    <w:pPr>
      <w:numPr>
        <w:ilvl w:val="0"/>
        <w:numId w:val="10"/>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6">
    <w:name w:val="EW"/>
    <w:basedOn w:val="197"/>
    <w:qFormat/>
    <w:uiPriority w:val="0"/>
    <w:pPr>
      <w:spacing w:after="0"/>
    </w:pPr>
  </w:style>
  <w:style w:type="paragraph" w:customStyle="1" w:styleId="197">
    <w:name w:val="EX"/>
    <w:basedOn w:val="1"/>
    <w:link w:val="244"/>
    <w:qFormat/>
    <w:uiPriority w:val="0"/>
    <w:pPr>
      <w:keepLines/>
      <w:ind w:left="1702" w:hanging="1418"/>
    </w:pPr>
  </w:style>
  <w:style w:type="paragraph" w:customStyle="1" w:styleId="19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9">
    <w:name w:val="Editor's Note"/>
    <w:basedOn w:val="138"/>
    <w:link w:val="247"/>
    <w:semiHidden/>
    <w:qFormat/>
    <w:uiPriority w:val="0"/>
    <w:rPr>
      <w:color w:val="FF0000"/>
    </w:rPr>
  </w:style>
  <w:style w:type="paragraph" w:customStyle="1" w:styleId="200">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1">
    <w:name w:val="TAH"/>
    <w:basedOn w:val="177"/>
    <w:link w:val="246"/>
    <w:qFormat/>
    <w:uiPriority w:val="0"/>
    <w:rPr>
      <w:b/>
    </w:rPr>
  </w:style>
  <w:style w:type="paragraph" w:customStyle="1" w:styleId="202">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Reference"/>
    <w:basedOn w:val="1"/>
    <w:qFormat/>
    <w:uiPriority w:val="0"/>
    <w:pPr>
      <w:numPr>
        <w:ilvl w:val="0"/>
        <w:numId w:val="11"/>
      </w:numPr>
      <w:overflowPunct w:val="0"/>
      <w:autoSpaceDE w:val="0"/>
      <w:autoSpaceDN w:val="0"/>
      <w:adjustRightInd w:val="0"/>
      <w:ind w:right="-99"/>
      <w:textAlignment w:val="baseline"/>
    </w:pPr>
  </w:style>
  <w:style w:type="paragraph" w:customStyle="1" w:styleId="20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205">
    <w:name w:val="样式 (中文) 宋体 段后: 12 磅"/>
    <w:basedOn w:val="1"/>
    <w:semiHidden/>
    <w:qFormat/>
    <w:uiPriority w:val="0"/>
    <w:pPr>
      <w:spacing w:after="240"/>
    </w:pPr>
    <w:rPr>
      <w:rFonts w:eastAsia="宋体" w:cs="宋体"/>
    </w:rPr>
  </w:style>
  <w:style w:type="paragraph" w:customStyle="1" w:styleId="206">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NW"/>
    <w:basedOn w:val="138"/>
    <w:qFormat/>
    <w:uiPriority w:val="0"/>
    <w:pPr>
      <w:spacing w:after="0"/>
    </w:pPr>
  </w:style>
  <w:style w:type="paragraph" w:customStyle="1" w:styleId="209">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V"/>
    <w:basedOn w:val="211"/>
    <w:semiHidden/>
    <w:qFormat/>
    <w:uiPriority w:val="0"/>
    <w:pPr>
      <w:framePr w:y="16161"/>
    </w:pPr>
  </w:style>
  <w:style w:type="paragraph" w:customStyle="1" w:styleId="211">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12">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B4"/>
    <w:basedOn w:val="64"/>
    <w:link w:val="227"/>
    <w:semiHidden/>
    <w:qFormat/>
    <w:uiPriority w:val="0"/>
    <w:rPr>
      <w:rFonts w:ascii="Arial" w:hAnsi="Arial" w:eastAsia="宋体" w:cs="Arial"/>
      <w:color w:val="0000FF"/>
      <w:kern w:val="2"/>
      <w:sz w:val="20"/>
    </w:rPr>
  </w:style>
  <w:style w:type="paragraph" w:customStyle="1" w:styleId="214">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21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16">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styleId="217">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8">
    <w:name w:val="LD"/>
    <w:semiHidden/>
    <w:qFormat/>
    <w:uiPriority w:val="0"/>
    <w:pPr>
      <w:keepNext/>
      <w:keepLines/>
      <w:spacing w:line="180" w:lineRule="exact"/>
    </w:pPr>
    <w:rPr>
      <w:rFonts w:ascii="MS LineDraw" w:hAnsi="MS LineDraw" w:eastAsia="MS Mincho" w:cs="Times New Roman"/>
      <w:lang w:val="en-GB" w:eastAsia="en-US" w:bidi="ar-SA"/>
    </w:rPr>
  </w:style>
  <w:style w:type="character" w:customStyle="1" w:styleId="219">
    <w:name w:val="B2 Char1"/>
    <w:semiHidden/>
    <w:qFormat/>
    <w:uiPriority w:val="0"/>
    <w:rPr>
      <w:rFonts w:ascii="Arial" w:hAnsi="Arial" w:eastAsia="宋体" w:cs="Arial"/>
      <w:color w:val="0000FF"/>
      <w:kern w:val="2"/>
      <w:lang w:val="en-GB" w:eastAsia="ja-JP" w:bidi="ar-SA"/>
    </w:rPr>
  </w:style>
  <w:style w:type="character" w:customStyle="1" w:styleId="220">
    <w:name w:val="B1 Char1"/>
    <w:link w:val="158"/>
    <w:qFormat/>
    <w:uiPriority w:val="0"/>
    <w:rPr>
      <w:rFonts w:ascii="Arial" w:hAnsi="Arial" w:eastAsia="宋体" w:cs="Arial"/>
      <w:color w:val="0000FF"/>
      <w:kern w:val="2"/>
      <w:lang w:val="en-GB" w:eastAsia="en-US" w:bidi="ar-SA"/>
    </w:rPr>
  </w:style>
  <w:style w:type="character" w:customStyle="1" w:styleId="221">
    <w:name w:val="apple-converted-space"/>
    <w:qFormat/>
    <w:uiPriority w:val="0"/>
  </w:style>
  <w:style w:type="character" w:customStyle="1" w:styleId="222">
    <w:name w:val="NO Char"/>
    <w:link w:val="138"/>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def"/>
    <w:basedOn w:val="76"/>
    <w:qFormat/>
    <w:uiPriority w:val="0"/>
  </w:style>
  <w:style w:type="character" w:customStyle="1" w:styleId="225">
    <w:name w:val="TAL Char"/>
    <w:qFormat/>
    <w:uiPriority w:val="0"/>
    <w:rPr>
      <w:rFonts w:ascii="Arial" w:hAnsi="Arial" w:eastAsia="宋体" w:cs="Arial"/>
      <w:color w:val="0000FF"/>
      <w:kern w:val="2"/>
      <w:sz w:val="18"/>
      <w:lang w:val="en-GB" w:eastAsia="en-GB" w:bidi="ar-SA"/>
    </w:rPr>
  </w:style>
  <w:style w:type="character" w:customStyle="1" w:styleId="226">
    <w:name w:val="font21"/>
    <w:basedOn w:val="76"/>
    <w:qFormat/>
    <w:uiPriority w:val="0"/>
    <w:rPr>
      <w:rFonts w:hint="default" w:ascii="Arial" w:hAnsi="Arial" w:cs="Arial"/>
      <w:color w:val="000000"/>
      <w:sz w:val="18"/>
      <w:szCs w:val="18"/>
      <w:u w:val="none"/>
    </w:rPr>
  </w:style>
  <w:style w:type="character" w:customStyle="1" w:styleId="227">
    <w:name w:val="B4 Char"/>
    <w:link w:val="213"/>
    <w:qFormat/>
    <w:uiPriority w:val="0"/>
    <w:rPr>
      <w:rFonts w:ascii="Arial" w:hAnsi="Arial" w:eastAsia="宋体" w:cs="Arial"/>
      <w:color w:val="0000FF"/>
      <w:kern w:val="2"/>
      <w:lang w:val="en-GB" w:eastAsia="en-US" w:bidi="ar-SA"/>
    </w:rPr>
  </w:style>
  <w:style w:type="character" w:customStyle="1" w:styleId="228">
    <w:name w:val="font41"/>
    <w:basedOn w:val="76"/>
    <w:qFormat/>
    <w:uiPriority w:val="0"/>
    <w:rPr>
      <w:rFonts w:hint="default" w:ascii="Arial" w:hAnsi="Arial" w:cs="Arial"/>
      <w:color w:val="000000"/>
      <w:sz w:val="18"/>
      <w:szCs w:val="18"/>
      <w:u w:val="none"/>
      <w:vertAlign w:val="subscript"/>
    </w:rPr>
  </w:style>
  <w:style w:type="character" w:customStyle="1" w:styleId="229">
    <w:name w:val="font31"/>
    <w:basedOn w:val="76"/>
    <w:qFormat/>
    <w:uiPriority w:val="0"/>
    <w:rPr>
      <w:rFonts w:hint="default" w:ascii="Arial" w:hAnsi="Arial" w:cs="Arial"/>
      <w:color w:val="000000"/>
      <w:sz w:val="18"/>
      <w:szCs w:val="18"/>
      <w:u w:val="none"/>
      <w:vertAlign w:val="subscript"/>
    </w:rPr>
  </w:style>
  <w:style w:type="character" w:customStyle="1" w:styleId="230">
    <w:name w:val="Heading 1 Char"/>
    <w:link w:val="2"/>
    <w:qFormat/>
    <w:uiPriority w:val="0"/>
    <w:rPr>
      <w:rFonts w:ascii="Arial" w:hAnsi="Arial"/>
      <w:sz w:val="36"/>
      <w:lang w:val="en-GB" w:eastAsia="en-US" w:bidi="ar-SA"/>
    </w:rPr>
  </w:style>
  <w:style w:type="character" w:customStyle="1" w:styleId="231">
    <w:name w:val="Body Text Char"/>
    <w:link w:val="25"/>
    <w:qFormat/>
    <w:uiPriority w:val="0"/>
    <w:rPr>
      <w:rFonts w:ascii="Arial" w:hAnsi="Arial" w:eastAsia="宋体" w:cs="Arial"/>
      <w:color w:val="0000FF"/>
      <w:kern w:val="2"/>
      <w:sz w:val="22"/>
      <w:szCs w:val="24"/>
      <w:lang w:val="en-US" w:eastAsia="en-US" w:bidi="ar-SA"/>
    </w:rPr>
  </w:style>
  <w:style w:type="character" w:customStyle="1" w:styleId="232">
    <w:name w:val="trans"/>
    <w:basedOn w:val="76"/>
    <w:qFormat/>
    <w:uiPriority w:val="0"/>
  </w:style>
  <w:style w:type="character" w:customStyle="1" w:styleId="233">
    <w:name w:val="keyword"/>
    <w:basedOn w:val="76"/>
    <w:qFormat/>
    <w:uiPriority w:val="0"/>
  </w:style>
  <w:style w:type="character" w:customStyle="1" w:styleId="234">
    <w:name w:val="ZGSM"/>
    <w:qFormat/>
    <w:uiPriority w:val="0"/>
  </w:style>
  <w:style w:type="character" w:customStyle="1" w:styleId="235">
    <w:name w:val="B2 Char"/>
    <w:link w:val="152"/>
    <w:qFormat/>
    <w:uiPriority w:val="0"/>
    <w:rPr>
      <w:rFonts w:ascii="Arial" w:hAnsi="Arial" w:eastAsia="宋体" w:cs="Arial"/>
      <w:color w:val="0000FF"/>
      <w:kern w:val="2"/>
      <w:lang w:val="en-GB" w:eastAsia="en-US" w:bidi="ar-SA"/>
    </w:rPr>
  </w:style>
  <w:style w:type="character" w:customStyle="1" w:styleId="236">
    <w:name w:val="Header Char"/>
    <w:link w:val="55"/>
    <w:qFormat/>
    <w:locked/>
    <w:uiPriority w:val="0"/>
    <w:rPr>
      <w:rFonts w:ascii="Arial" w:hAnsi="Arial"/>
      <w:b/>
      <w:sz w:val="18"/>
      <w:lang w:val="en-GB" w:eastAsia="en-US" w:bidi="ar-SA"/>
    </w:rPr>
  </w:style>
  <w:style w:type="character" w:customStyle="1" w:styleId="237">
    <w:name w:val="Heading 4 Char"/>
    <w:link w:val="5"/>
    <w:qFormat/>
    <w:uiPriority w:val="0"/>
    <w:rPr>
      <w:rFonts w:ascii="Arial" w:hAnsi="Arial"/>
      <w:sz w:val="24"/>
      <w:szCs w:val="28"/>
      <w:lang w:val="en-GB" w:eastAsia="en-US"/>
    </w:rPr>
  </w:style>
  <w:style w:type="character" w:customStyle="1" w:styleId="238">
    <w:name w:val="Heading 3 Char"/>
    <w:link w:val="4"/>
    <w:qFormat/>
    <w:uiPriority w:val="0"/>
    <w:rPr>
      <w:rFonts w:ascii="Arial" w:hAnsi="Arial"/>
      <w:sz w:val="28"/>
      <w:szCs w:val="28"/>
      <w:lang w:val="en-GB" w:eastAsia="en-US"/>
    </w:rPr>
  </w:style>
  <w:style w:type="character" w:customStyle="1" w:styleId="239">
    <w:name w:val="font11"/>
    <w:basedOn w:val="76"/>
    <w:qFormat/>
    <w:uiPriority w:val="0"/>
    <w:rPr>
      <w:rFonts w:hint="default" w:ascii="Arial" w:hAnsi="Arial" w:cs="Arial"/>
      <w:color w:val="000000"/>
      <w:sz w:val="18"/>
      <w:szCs w:val="18"/>
      <w:u w:val="none"/>
    </w:rPr>
  </w:style>
  <w:style w:type="character" w:customStyle="1" w:styleId="240">
    <w:name w:val="PL Char"/>
    <w:link w:val="188"/>
    <w:semiHidden/>
    <w:qFormat/>
    <w:uiPriority w:val="0"/>
    <w:rPr>
      <w:rFonts w:ascii="Courier New" w:hAnsi="Courier New" w:eastAsia="宋体" w:cs="Arial"/>
      <w:color w:val="0000FF"/>
      <w:kern w:val="2"/>
      <w:sz w:val="16"/>
      <w:lang w:val="en-GB" w:eastAsia="en-US" w:bidi="ar-SA"/>
    </w:rPr>
  </w:style>
  <w:style w:type="character" w:customStyle="1" w:styleId="241">
    <w:name w:val="首标题"/>
    <w:qFormat/>
    <w:uiPriority w:val="0"/>
    <w:rPr>
      <w:rFonts w:ascii="Arial" w:hAnsi="Arial" w:eastAsia="宋体" w:cs="Arial"/>
      <w:color w:val="0000FF"/>
      <w:kern w:val="2"/>
      <w:sz w:val="24"/>
      <w:lang w:val="en-US" w:eastAsia="zh-CN" w:bidi="ar-SA"/>
    </w:rPr>
  </w:style>
  <w:style w:type="character" w:customStyle="1" w:styleId="242">
    <w:name w:val="TAL Car"/>
    <w:link w:val="141"/>
    <w:qFormat/>
    <w:uiPriority w:val="0"/>
    <w:rPr>
      <w:rFonts w:ascii="Arial" w:hAnsi="Arial" w:eastAsia="宋体" w:cs="Arial"/>
      <w:color w:val="0000FF"/>
      <w:kern w:val="2"/>
      <w:sz w:val="18"/>
      <w:lang w:val="en-GB" w:eastAsia="en-US" w:bidi="ar-SA"/>
    </w:rPr>
  </w:style>
  <w:style w:type="character" w:customStyle="1" w:styleId="243">
    <w:name w:val="Comment Text Char"/>
    <w:basedOn w:val="76"/>
    <w:link w:val="16"/>
    <w:qFormat/>
    <w:uiPriority w:val="0"/>
    <w:rPr>
      <w:sz w:val="22"/>
      <w:lang w:val="en-GB" w:eastAsia="en-US"/>
    </w:rPr>
  </w:style>
  <w:style w:type="character" w:customStyle="1" w:styleId="244">
    <w:name w:val="EX Char"/>
    <w:link w:val="197"/>
    <w:qFormat/>
    <w:locked/>
    <w:uiPriority w:val="0"/>
    <w:rPr>
      <w:sz w:val="22"/>
      <w:lang w:val="en-GB" w:eastAsia="en-US"/>
    </w:rPr>
  </w:style>
  <w:style w:type="character" w:customStyle="1" w:styleId="245">
    <w:name w:val="Caption Char"/>
    <w:link w:val="35"/>
    <w:qFormat/>
    <w:uiPriority w:val="0"/>
    <w:rPr>
      <w:rFonts w:ascii="Arial" w:hAnsi="Arial" w:eastAsia="MS Mincho" w:cs="Arial"/>
      <w:b/>
      <w:color w:val="0000FF"/>
      <w:kern w:val="2"/>
      <w:sz w:val="22"/>
      <w:lang w:val="en-US" w:eastAsia="en-US" w:bidi="ar-SA"/>
    </w:rPr>
  </w:style>
  <w:style w:type="character" w:customStyle="1" w:styleId="246">
    <w:name w:val="TAH Car"/>
    <w:link w:val="201"/>
    <w:qFormat/>
    <w:uiPriority w:val="0"/>
    <w:rPr>
      <w:rFonts w:ascii="Arial" w:hAnsi="Arial" w:eastAsia="MS Mincho" w:cs="Arial"/>
      <w:b/>
      <w:color w:val="0000FF"/>
      <w:kern w:val="2"/>
      <w:sz w:val="18"/>
      <w:lang w:val="en-GB" w:eastAsia="en-US" w:bidi="ar-SA"/>
    </w:rPr>
  </w:style>
  <w:style w:type="character" w:customStyle="1" w:styleId="247">
    <w:name w:val="Editor's Note Char"/>
    <w:link w:val="199"/>
    <w:qFormat/>
    <w:uiPriority w:val="0"/>
    <w:rPr>
      <w:rFonts w:ascii="Arial" w:hAnsi="Arial" w:eastAsia="宋体" w:cs="Arial"/>
      <w:color w:val="FF0000"/>
      <w:kern w:val="2"/>
      <w:lang w:val="en-GB" w:eastAsia="en-US" w:bidi="ar-SA"/>
    </w:rPr>
  </w:style>
  <w:style w:type="character" w:customStyle="1" w:styleId="248">
    <w:name w:val="B3 Char2"/>
    <w:link w:val="183"/>
    <w:qFormat/>
    <w:uiPriority w:val="0"/>
    <w:rPr>
      <w:rFonts w:ascii="Arial" w:hAnsi="Arial" w:eastAsia="宋体" w:cs="Arial"/>
      <w:color w:val="0000FF"/>
      <w:kern w:val="2"/>
      <w:lang w:val="en-GB" w:eastAsia="en-US" w:bidi="ar-SA"/>
    </w:rPr>
  </w:style>
  <w:style w:type="character" w:customStyle="1" w:styleId="249">
    <w:name w:val="TAC Char"/>
    <w:link w:val="177"/>
    <w:qFormat/>
    <w:uiPriority w:val="0"/>
    <w:rPr>
      <w:rFonts w:ascii="Arial" w:hAnsi="Arial" w:eastAsia="MS Mincho" w:cs="Arial"/>
      <w:color w:val="0000FF"/>
      <w:kern w:val="2"/>
      <w:sz w:val="18"/>
      <w:lang w:val="en-GB" w:eastAsia="en-US" w:bidi="ar-SA"/>
    </w:rPr>
  </w:style>
  <w:style w:type="character" w:customStyle="1" w:styleId="250">
    <w:name w:val="Heading 2 Char"/>
    <w:link w:val="3"/>
    <w:qFormat/>
    <w:uiPriority w:val="0"/>
    <w:rPr>
      <w:rFonts w:ascii="Arial" w:hAnsi="Arial"/>
      <w:sz w:val="28"/>
      <w:szCs w:val="28"/>
      <w:lang w:val="en-GB" w:eastAsia="en-US"/>
    </w:rPr>
  </w:style>
  <w:style w:type="character" w:customStyle="1" w:styleId="251">
    <w:name w:val="TAL Char Char Char"/>
    <w:link w:val="154"/>
    <w:qFormat/>
    <w:uiPriority w:val="0"/>
    <w:rPr>
      <w:rFonts w:ascii="Arial" w:hAnsi="Arial" w:eastAsia="宋体" w:cs="Arial"/>
      <w:color w:val="0000FF"/>
      <w:kern w:val="2"/>
      <w:sz w:val="18"/>
      <w:lang w:val="en-GB" w:eastAsia="en-US" w:bidi="ar-SA"/>
    </w:rPr>
  </w:style>
  <w:style w:type="character" w:customStyle="1" w:styleId="252">
    <w:name w:val="Guidance Char"/>
    <w:link w:val="181"/>
    <w:qFormat/>
    <w:uiPriority w:val="0"/>
    <w:rPr>
      <w:rFonts w:eastAsia="Times New Roman"/>
      <w:i/>
      <w:color w:val="0000FF"/>
      <w:lang w:val="en-GB" w:eastAsia="en-US"/>
    </w:rPr>
  </w:style>
  <w:style w:type="character" w:customStyle="1" w:styleId="253">
    <w:name w:val="font01"/>
    <w:basedOn w:val="76"/>
    <w:qFormat/>
    <w:uiPriority w:val="0"/>
    <w:rPr>
      <w:rFonts w:hint="default" w:ascii="Arial" w:hAnsi="Arial" w:cs="Arial"/>
      <w:color w:val="000000"/>
      <w:sz w:val="18"/>
      <w:szCs w:val="18"/>
      <w:u w:val="none"/>
      <w:vertAlign w:val="subscript"/>
    </w:rPr>
  </w:style>
  <w:style w:type="character" w:customStyle="1" w:styleId="254">
    <w:name w:val="TH Char"/>
    <w:link w:val="160"/>
    <w:qFormat/>
    <w:uiPriority w:val="0"/>
    <w:rPr>
      <w:rFonts w:ascii="Arial" w:hAnsi="Arial" w:eastAsia="MS Mincho" w:cs="Arial"/>
      <w:b/>
      <w:color w:val="0000FF"/>
      <w:kern w:val="2"/>
      <w:sz w:val="22"/>
      <w:lang w:val="en-GB" w:eastAsia="en-US" w:bidi="ar-SA"/>
    </w:rPr>
  </w:style>
  <w:style w:type="character" w:customStyle="1" w:styleId="255">
    <w:name w:val="TAN Char"/>
    <w:link w:val="140"/>
    <w:qFormat/>
    <w:uiPriority w:val="0"/>
    <w:rPr>
      <w:rFonts w:ascii="Arial" w:hAnsi="Arial" w:eastAsia="宋体" w:cs="Arial"/>
      <w:color w:val="0000FF"/>
      <w:kern w:val="2"/>
      <w:sz w:val="18"/>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18</TotalTime>
  <ScaleCrop>false</ScaleCrop>
  <LinksUpToDate>false</LinksUpToDate>
  <CharactersWithSpaces>19878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2020-08-07T10:49:40Z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